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33</w:t>
      </w:r>
    </w:p>
    <w:p>
      <w:r>
        <w:t>Bundesgericht (BGE), 1978-01-01, FR</w:t>
      </w:r>
    </w:p>
    <w:p>
      <w:r>
        <w:rPr>
          <w:b/>
        </w:rPr>
        <w:t xml:space="preserve">Quelle: </w:t>
      </w:r>
      <w:r>
        <w:t>https://mcp.opencaselaw.ch/entscheid/bge_BGE_104_IV_33</w:t>
      </w:r>
    </w:p>
    <w:p>
      <w:r>
        <w:t>FR: ATF 104 IV 33</w:t>
      </w:r>
    </w:p>
    <w:p>
      <w:r>
        <w:t>IT: DTF 104 IV 33</w:t>
      </w:r>
    </w:p>
    <w:p>
      <w:pPr>
        <w:pStyle w:val="Heading2"/>
      </w:pPr>
      <w:r>
        <w:t>Regeste</w:t>
      </w:r>
    </w:p>
    <w:p>
      <w:r>
        <w:t>Regeste Art. 37 Abs. 2 SVG und Art. 19 Abs. 1 und Abs. 2 lit. b VRV. Das ausnahmsweise gestattete Parkieren auf Hauptstrassen ausserorts muss so kurz wie möglich und durch das Ein- und Aussteigenlassen von Personen oder den Güterumschlag geboten sein.</w:t>
      </w:r>
    </w:p>
    <w:p>
      <w:r>
        <w:t>Regeste Art. 37 al. 2 LCR et art. 19 al. 1 et al. 2 litt. b OCR. Le stationnement autorisé par exception sur les routes principales en dehors des localités doit être aussi bref que possible et répondre à la nécessité immédiate de laisser monter ou descendre les passagers, ou d'assurer le chargement ou le déchargement des marchandises.</w:t>
      </w:r>
    </w:p>
    <w:p>
      <w:r>
        <w:t>Regesto Art. 37 cpv. 2 LCS e art. 19 cpv. 1 e cpv. 2 lett. b ONCS. La sosta autorizzata eccezionalmente sulle strade principali fuori delle località deve essere più breve possibile; la sua durata è strettamente limitata dalla necessità di far salire o scendere i passeggeri oppure di caricare o scaricare merci.</w:t>
      </w:r>
    </w:p>
    <w:p>
      <w:pPr>
        <w:pStyle w:val="Heading2"/>
      </w:pPr>
      <w:r>
        <w:t>Erwägungen</w:t>
      </w:r>
    </w:p>
    <w:p>
      <w:r>
        <w:rPr>
          <w:b/>
        </w:rPr>
        <w:t>E. 1</w:t>
      </w:r>
    </w:p>
    <w:p>
      <w:r>
        <w:t>C'est en vain que le recourant cherche à tirer argument de l'art. 19 al. 1 OCR. En effet, si l'on s'en tient aux constatations de l'autorité cantonale, ainsi que le commande l'art. 277bis al. 1 PPF, il n'est pas exact que le recourant ne s'est arrêté que pour décharger de la marchandise. Si telle était bien son intention générale, il voulait en réalité, sur le moment, attendre l'heure d'ouverture de l'établissement auprès duquel il se rendait et se renseigner sur l'adresse à laquelle il se trouvait. On ne saurait donc dire sérieusement que le stationnement devait servir uniquement à décharger des marchandises. Certes, si le recourant s'était limité à s'arrêter un instant, clignotants enclenchés, pour demander un renseignement, on n'aurait pas encore pu lui reprocher une violation des règles de la circulation, pour autant que les conditions de l'art. 18 al. 2 OCR ne soient pas réalisées, mais le fait d'attendre au bord de la route principale en empiétant sur elle était en tout cas incompatible avec le principe qui découle des art. 37 al. 2 LCR et 19 al. 2 litt. b OCR et selon laquelle le stationnement autorisé par exception sur les routes principales en dehors des localités doit être aussi bref que possible et répondre à la nécessité de laisser monter ou descendre les passagers ou d'assurer le chargement ou le déchargement des marchandises.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