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288</w:t>
      </w:r>
    </w:p>
    <w:p>
      <w:r>
        <w:t>Bundesgericht (BGE), 1978-01-01, FR</w:t>
      </w:r>
    </w:p>
    <w:p>
      <w:r>
        <w:rPr>
          <w:b/>
        </w:rPr>
        <w:t xml:space="preserve">Quelle: </w:t>
      </w:r>
      <w:r>
        <w:t>https://mcp.opencaselaw.ch/entscheid/bge_BGE_104_IV_288</w:t>
      </w:r>
    </w:p>
    <w:p>
      <w:r>
        <w:t>FR: ATF 104 IV 288</w:t>
      </w:r>
    </w:p>
    <w:p>
      <w:r>
        <w:t>IT: DTF 104 IV 288</w:t>
      </w:r>
    </w:p>
    <w:p>
      <w:pPr>
        <w:pStyle w:val="Heading2"/>
      </w:pPr>
      <w:r>
        <w:t>Regeste</w:t>
      </w:r>
    </w:p>
    <w:p>
      <w:r>
        <w:t>Regeste 1. Art. 269 Abs. 1 BStP. Mit der Nichtigkeitsbeschwerde kann gerügt werden, es sei zu Unrecht kantonales Recht statt Bundesrecht angewendet worden (E. 2). 2. Art. 335 Ziff. 1 Abs. 1 StGB, Art. 106 Abs. 3 SVG. Die Kantone sind zum Erlass eines ergänzenden Übertretungsstrafrechts im Gebiet des Strassenverkehrs nur insoweit befugt, als diese kantonalen Vorschriften nicht Motorfahrzeuge, Fahrräder oder Eisenbahnfahrzeuge betreffen. Art. 106 Abs. 3 SVG ist lex specialis im Verhältnis zu Art. 335 Ziff. 1 Abs. 1 StGB. Daraus folgt, dass der Automobilist, der andere Fahrzeugführer mit der Lichthupe auf eine Radarkontrolle aufmerksam macht, nicht gestützt auf kantonales Recht bestraft werden kann (E. 3).</w:t>
      </w:r>
    </w:p>
    <w:p>
      <w:r>
        <w:t>Regeste 1. Art. 269 al. 1 PPF. L'application du droit cantonal en lieu et place du droit fédéral ouvre la voie du pourvoi en nullité (consid. 2). 2. Art. 335 ch. 1 al. 1 CP, art. 106 al. 3 LCR. Les cantons ne peuvent édicter des prescriptions complémentaires instituant des contraventions de droit cantonal dans le domaine de la circulation routière que si elles ne concernent pas les véhicules automobiles et les cycles, les tramways et chemins de fer routiers. En effet l'art. 106 al. 3 LCR se présente comme une lex specialis par rapport à l'art. 335 ch. 1 al. 1 CP. Il s'ensuit que l'automobiliste qui attire l'attention sur un contrôle radar par des appels de phares ne saurait être puni en vertu du droit cantonal (consid. 3).</w:t>
      </w:r>
    </w:p>
    <w:p>
      <w:r>
        <w:t>Regesto 1. Art. 269 cpv. 1 PP. L'applicazione del diritto cantonale in luogo del diritto federale è censurabile con ricorso per cassazione (consid. 2). 2. Art. 335 n. 1 cpv. 1 CO, art. 106 cpv. 3 LCS. I Cantoni possono emanare prescrizioni completive con cui sono istituite contravvenzioni di diritto cantonale in materia di circolazione stradale solo in quanto esse non concernano i veicoli a motore, i velocipedi e i veicoli ferrotranviari. L'art. 106 cpv. 3 LCS costituisce infatti una norma speciale rispetto all'art. 335 n. 1 cpv. 1 CP. Ne segue che l'automobilista che attiri l'attenzione mediante segnali con le luci su un controllo radar non è punibile in base al diritto cantonale (consid. 3).</w:t>
      </w:r>
    </w:p>
    <w:p>
      <w:pPr>
        <w:pStyle w:val="Heading2"/>
      </w:pPr>
      <w:r>
        <w:t>Erwägungen</w:t>
      </w:r>
    </w:p>
    <w:p>
      <w:r>
        <w:rPr>
          <w:b/>
        </w:rPr>
        <w:t>E. 1</w:t>
      </w:r>
    </w:p>
    <w:p>
      <w:r>
        <w:t>a) La Cour cantonale a considéré que l'art. 51 du règlement cantonal (dés le 1er janvier 1978, art. 53 ALVCR du 2 novembre 1977, qui a la même teneur) est une disposition que le canton de Vaud était fondé à édicter dans le cadre de l' art. 335 CP . En effet, selon elle, l'acte du recourant, cherchant à rendre inopérant un contrôle radar, n'est, d'une part, pas punissable au regard du droit fédéral et, d'autre part, il ne constituerait pas une atteinte à un bien juridiquement protégé par un ensemble complet de prescriptions du Code pénal. Par BGE 104 IV 288 S. 290 ailleurs, la disposition cantonale incriminée ne serait pas une prescription primaire sur la circulation des véhicules et des cycles échappant de ce fait au pouvoir législatif des cantons en vertu de la restriction contenue à l' art. 106 al. 3 LCR , mais bien plutôt une règle de comportement, protégeant l'efficacité de l'action de la gendarmerie sur la route, qui ne serait comme telle pas incompatible avec le droit fédéral. b) Pour le recourant, au contraire, les juges précédents et les autorités vaudoises ont violé l' art. 335 CP tant en édictant qu'en appliquant l'art. 51 ALVCR. Selon lui, cette disposition cantonale n'entre pas dans la compétence spéciale réservée aux cantons par l' art. 106 al. 3 LCR , qui ne permet pas aux cantons d'édicter des dispositions pénales en marge des cas visés par le Code pénal ou par la LCR. Le domaine de la circulation routière est exhaustivement réglé par la législation fédérale, qui n'a pas voulu que soit puni le comportement de celui qui cherche à rendre inopérant le contrôle de la vitesse des véhicules. Il y a silence qualifié de la loi, qui, si le législateur avait voulu réprimer l'entrave au contrôle de la vitesse, n'eût pas manqué de le dire expressément, comme il l'a fait à l' art. 91 al. 3 LCR en matière de contrôle de l'ivresse.</w:t>
      </w:r>
    </w:p>
    <w:p>
      <w:r>
        <w:rPr>
          <w:b/>
        </w:rPr>
        <w:t>E. 2</w:t>
      </w:r>
    </w:p>
    <w:p>
      <w:r>
        <w:t>Le grief selon lequel le droit cantonal a été appliqué à tort, en lieu et place du droit fédéral, est recevable dans un pourvoi en nullité au Tribunal fédéral ( ATF 101 IV 376 ). La Cour de cassation est, en particulier, habilitée à examiner si la répression d'un comportement non visé par le droit fédéral peut être laissée au canton ( ATF 89 IV 95 consid. 4a et arrêts cités). Il y a donc lieu d'entrer en matière sur le pourvoi.</w:t>
      </w:r>
    </w:p>
    <w:p>
      <w:r>
        <w:rPr>
          <w:b/>
        </w:rPr>
        <w:t>E. 3</w:t>
      </w:r>
    </w:p>
    <w:p>
      <w:r>
        <w:t>a) L' art 335 ch. 1 CP réserve le pouvoir des cantons de légiférer sur les contraventions de police qui ne sont pas l'objet de la législation fédérale (al. 1). Il les autorise en outre à édicter des peines pour les contraventions aux prescriptions cantonales d'administration et de procédure (al. 2). Selon la jurisprudence, il ne suffit pas, pour que les cantons soient en droit de sanctionner un acte à titre de contravention, que celui-ci ne soit pas réprimé par une disposition du droit fédéral. En effet, si un comportement échappe aux prévisions du Code pénal ou du droit pénal fédéral, cela peut signifier qu'il doit rester impuni. Tel est le cas lorsque la loi règle les atteintes à un bien juridiquement protégé par un ensemble complet de prescriptions. En revanche, si le Code pénal - ou le droit pénal BGE 104 IV 288 S. 291 fédéral - laisse de côté tout un domaine du droit pénal, ou s'il ne sanctionne que certains comportements, abandonnant à chaque canton la liberté de réprimer ou de laisser impuni tel ou tel acte, pour tenir compte des différences régionales, alors il y a place pour des prescriptions cantonales relatives aux contraventions ( ATF 89 IV 95 consid. 4a et arrêts cités). Par ailleurs, en matière administrative de même qu'en matière de procédure, les cantons conservent, en vertu de l' art. 335 al. 2 CP , le pouvoir d'établir des sanctions pénales pour toutes les matières. administratives - ou de procédure - sur lesquelles, constitutionnellement, leur appartient la compétence législative ( ATF 78 I 307 ), et cela sans autre restriction que l'existence éventuelle d'une norme répressive de droit pénal fédéral sur le même objet ( ATF 76 IV 282 consid. 4, ATF 81 IV 330 ; cf. ATF 69 IV 210 , ATF 86 IV 73 , ATF 92 I 35 consid. 8, ATF 96 II 261 consid. b. b) Il saute aux yeux que la disposition litigieuse ne relève pas du domaine de l'administration, ni de celui de la procédure au sens de l' art. 335 ch. 1 al. 2 CP ; l'autorité cantonale ne le soutient d'ailleurs pas. De même ne s'agit-il pas, évidemment, d'une règle destinée à assurer l'exécution de la LCR en application de l' art. 106 al. 2 LCR . La disposition en cause représente en réalité une disposition pénale sanctionnant une contravention de droit cantonal au sens de l' art. 335 ch. 1 al. 1 CP . Ce n'est pas toutefois à la lumière de ce dernier qu'il convient de décider si elle est admissible au regard du droit fédéral, mais en fonction de l' art. 106 al. 3 LCR , qui, s'agissant de la circulation routière, se trouve en situation de lex specialis par rapport au droit commun. Or il n'est pas douteux que la réglementation cantonale en cause touche au domaine de la LCR dans le sens large qui se dégage à la lumière de dispositions telles que les art. 54 et 57, par exemple. Dans ces conditions, dans la mesure - qu'il n'est pas besoin de définir ici - où les autorités cantonales envisageaient d'édicter la disposition complémentaire en cause, elles ne devaient pas le faire dans le domaine des véhicules automobiles et des cycles, ni dans celui des tramways et des chemins de fer routiers. Il s'ensuit que la disposition en cause ne pouvait pas, comme en l'espèce, servir à sanctionner le comportement du conducteur d'un véhicule automobile sans que cela porte atteinte à la force dérogatoire du droit fédéral. La décision attaquée doit partant être annulée et, comme il a déjà été jugé BGE 104 IV 288 S. 292 qu'une mise en garde des automobilistes contre un contrôle de vitesse ne constitue pas une opposition aux actes de l'autorité au sens de l' art. 286 CP ( ATF 103 IV 186 ), la cause doit être renvoyée à l'autorité cantonale pour qu'elle libère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