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149</w:t>
      </w:r>
    </w:p>
    <w:p>
      <w:r>
        <w:t>Bundesgericht (BGE), 1978-01-01, DE</w:t>
      </w:r>
    </w:p>
    <w:p>
      <w:r>
        <w:rPr>
          <w:b/>
        </w:rPr>
        <w:t xml:space="preserve">Quelle: </w:t>
      </w:r>
      <w:r>
        <w:t>https://mcp.opencaselaw.ch/entscheid/bge_BGE_104_IV_149</w:t>
      </w:r>
    </w:p>
    <w:p>
      <w:r>
        <w:t>FR: ATF 104 IV 149</w:t>
      </w:r>
    </w:p>
    <w:p>
      <w:r>
        <w:t>IT: DTF 104 IV 149</w:t>
      </w:r>
    </w:p>
    <w:p>
      <w:pPr>
        <w:pStyle w:val="Heading2"/>
      </w:pPr>
      <w:r>
        <w:t>Regeste</w:t>
      </w:r>
    </w:p>
    <w:p>
      <w:r>
        <w:t>Regeste Art. 58 StGB. Einziehung von Gegenständen. Der Grundsatz der Verhältnismässigkeit ist auch auf die Massnahme der Einziehung gemäss Art. 58 Abs. 1 lit. b StGB anwendbar.</w:t>
      </w:r>
    </w:p>
    <w:p>
      <w:r>
        <w:t>Regeste Art. 58 CP. Confiscation. Le principe de la proportionnalité est également applicable dans le cadre de la confiscation au sens de l'art. 58 al. 1 litt. b CP.</w:t>
      </w:r>
    </w:p>
    <w:p>
      <w:r>
        <w:t>Regesto Art. 58 CP. Confisca. Il principio della proporzionalità è applicabile anche alla confisca ai sensi dell'art. 58 cpv. 1 lett. b CP.</w:t>
      </w:r>
    </w:p>
    <w:p>
      <w:pPr>
        <w:pStyle w:val="Heading2"/>
      </w:pPr>
      <w:r>
        <w:t>Erwägungen</w:t>
      </w:r>
    </w:p>
    <w:p>
      <w:r>
        <w:rPr>
          <w:b/>
        </w:rPr>
        <w:t>E. 1</w:t>
      </w:r>
    </w:p>
    <w:p>
      <w:r>
        <w:t>Die Einziehung und das Unbrauchbarmachen der beiden Sprechfunkgeräte des Typs Tokai TC 500 G ist von keiner Seite angefochten und daher nicht Gegenstand der Nichtigkeitsbeschwerde an den Kassationshof. Die Einziehung erfolgte, weil der Gebrauch dieser Geräte die öffentliche Ordnung (den geregelten und störungsfreien Funkverkehr) und mittelbar (durch Störung des Polizei-, Feuerwehr- oder Sanitätsfunks) unter Umständen sogar die Sicherheit von Menschen gefährdet, also auf Grund von Art. 58 Abs. 1 lit. b StGB . Der Beschwerdegegner beruft sich daher umsonst auf die repressive Massnahme zur Beseitigung eines unrechtmässigen Zustandes gemäss lit. a dieser Gesetzesvorschrift. Wieweit diese Art der Einziehung im vorliegenden Fall zu andern Schlüssen führen würde, ist somit nicht zu prüfen.</w:t>
      </w:r>
    </w:p>
    <w:p>
      <w:r>
        <w:rPr>
          <w:b/>
        </w:rPr>
        <w:t>E. 2</w:t>
      </w:r>
    </w:p>
    <w:p>
      <w:r>
        <w:t>Die Einziehung kann, je nach dem Gegenstand oder Wert, der einzuziehen ist, ein schwerer Eingriff in die Eigentumsrechte sein. Er muss daher verhältnismässig sein (Amtl. Bull., NR 1973 I S. 498, Votum Bundesrat Furgler). Deshalb kann gemäss ausdrücklicher Vorschrift die Einziehung unter gewissen Voraussetzungen auf einzelne Teile eines Gegenstandes beschränkt werden ( Art. 58 Abs. 2 StGB ). Der Grundsatz der Verhältnismässigkeit kann aber auch sonst dazu führen, statt der Einziehung eine weniger weitgehende Massnahme anzuordnen, wenn auch sie den Zweck der Massnahme erreicht. Analog wurde beispielsweise schon in BGE 89 IV 135 E. 6 entschieden, bei unzüchtigen Gegenständen von wissenschaftlichem oder künstlerischem Interesse seien an Stelle der gesetzlich BGE 104 IV 149 S. 150 vorgesehenen Vernichtung ( Art. 204 Ziff. 3 StGB ) Massnahmen anzuordnen, die den Zugang zu ihnen auf Fachleute beschränke. Den Vorinstanzen ist daher insoweit zuzustimmen, als sie selbst hinsichtlich der vorbeugenden Einziehung im Sinne von Art. 58 Abs. 1 lit. b StGB die Anordnung einer weniger in die Eigentumsrechte eingreifenden Ersatzmassnahme nicht zum vornherein ausschliessen, sofern auch sie die Sicherheit von Menschen und den Schutz von Sittlichkeit und öffentlicher Ordnung gewährleistet. Anderseits darf nicht ausser acht gelassen werden, dass Art. 58 Abs. 1 lit. b StGB den Richter ausdrücklich anweist, gefährliche Gegenstände einzuziehen. Die Einziehung bildet also nach dem Gesetz die Regel. Von ihr darf daher nur abgewichen werden, wenn der Grundsatz der Verhältnismässigkeit die Anordnung einer weniger weit gehenden Massnahme gebietet, die dem Zweck der Massnahme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