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121</w:t>
      </w:r>
    </w:p>
    <w:p>
      <w:r>
        <w:t>Bundesgericht (BGE), 1978-01-01, DE</w:t>
      </w:r>
    </w:p>
    <w:p>
      <w:r>
        <w:rPr>
          <w:b/>
        </w:rPr>
        <w:t xml:space="preserve">Quelle: </w:t>
      </w:r>
      <w:r>
        <w:t>https://mcp.opencaselaw.ch/entscheid/bge_BGE_104_IV_121</w:t>
      </w:r>
    </w:p>
    <w:p>
      <w:r>
        <w:t>FR: ATF 104 IV 121</w:t>
      </w:r>
    </w:p>
    <w:p>
      <w:r>
        <w:t>IT: DTF 104 IV 121</w:t>
      </w:r>
    </w:p>
    <w:p>
      <w:pPr>
        <w:pStyle w:val="Heading2"/>
      </w:pPr>
      <w:r>
        <w:t>Regeste</w:t>
      </w:r>
    </w:p>
    <w:p>
      <w:r>
        <w:t>Regeste Art. 52 Abs. 1, 85 Abs. 1 BAV. Ein mit einem Sitz von nur 40 cm Länge ausgestattetes Motorrad, das zwar für 2 Personen zum Verkehr zugelassen ist, aber nur von einer Person gefahren wird, befindet sich nicht in vorschriftswidrigem Zustand (E. 2). Art. 74 Abs. 5 VZV. Die Montage eines nur für den Transport einer einzigen Person genügenden Sitzes auf ein für zwei Personen zugelassenes Motorrad ist eine gemäss Art. 74 Abs. 5 VZV der Behörde innert 14 Tagen zu meldende Tatsache (E. 4).</w:t>
      </w:r>
    </w:p>
    <w:p>
      <w:r>
        <w:t>Regeste Art. 52 al. 1, 85 al. 1 OCE. Un motocycle équipé d'un siège de 40 cm de long seulement, alors qu'il est autorisé à être utilisé par deux personnes, mais sur lequel ne circule qu'une seule personne, n'est pas contraire aux prescriptions de l'ordonnance (consid. 2). Art. 74 al. 5 OAC. Le montage d'un siège ne permettant de recevoir qu'une personne sur un motocycle prévu pour transporter deux personnes est une circonstance qui doit être annoncée à l'autorité dans les 14 jours, conformément à la disposition précitée (consid. 4).</w:t>
      </w:r>
    </w:p>
    <w:p>
      <w:r>
        <w:t>Regesto Art. 52 cpv. 1, 85 cpv. 1 OCE. Un motoveicolo munito di un sedile lungo soltanto 40 cm non va considerato come non conforme alle prescrizioni allorquando sia ammesso alla circolazione con due persone, ma circoli con una sola persona (consid. 2). Art. 74 cpv. 5 OAC. L'applicazione di un sedile consentito per una sola persona su di un motoveicolo ammesso alla circolazione con due persone, costituisce una circostanza che deve essere annunciata all'autorità entro quattordici giorni, ai sensi dell'art. 74 cpv. 5 OAC (consid. 4).</w:t>
      </w:r>
    </w:p>
    <w:p>
      <w:pPr>
        <w:pStyle w:val="Heading2"/>
      </w:pPr>
      <w:r>
        <w:t>Erwägungen</w:t>
      </w:r>
    </w:p>
    <w:p>
      <w:r>
        <w:rPr>
          <w:b/>
        </w:rPr>
        <w:t>E. 1</w:t>
      </w:r>
    </w:p>
    <w:p>
      <w:r>
        <w:t>Der Beschwerdeführer rügt, weder befinde sich sein Motorrad in einem nicht vorschriftsgemässen Zustand, noch liege ein meldepflichtiger Umbau im Sinne von Art. 83 Abs. 4 BAV vor. Der von ihm an Stelle der ursprünglichen Zweiersitzbank montierte Einersitz genüge den Anforderungen von Art. 52 Abs. 1 BAV und habe die Fahrzeugeinteilung nicht verändert.</w:t>
      </w:r>
    </w:p>
    <w:p>
      <w:r>
        <w:rPr>
          <w:b/>
        </w:rPr>
        <w:t>E. 2</w:t>
      </w:r>
    </w:p>
    <w:p>
      <w:r>
        <w:t>Gemäss Art. 29 SVG dürfen Fahrzeuge nur in betriebssicherem und vorschriftsgemässem Zustand verkehren. Auf Grund von Art. 93 Ziff. 2 SVG wird mit Haft oder Busse bestraft, wer ein Fahrzeug führt, von dem er weiss oder bei pflichtgemässer Aufmerksamkeit wissen kann, dass es den Vorschriften nicht entspricht. Als nicht vorschriftsgemäss gilt ein Fahrzeug, und die Strafbestimmung von Art. 93 Ziff. 2 SVG ist anwendbar, wenn vorgeschriebene Teile fehlen oder den Vorschriften nicht entsprechen und untersagte Teile vorhanden sind oder bewilligungspflichtige ohne Bewilligung angebracht wurden ( Art. 85 Abs. 1 BAV ). Art. 52 Abs. 1 BAV schreibt für Motorräder eine Sitzlänge von höchstens 45 cm für eine Person und von mindestens 65 cm für zwei Personen vor. Wenn nach den Erwägungen des angefochtenen Entscheides sich nur eine Person auf dem Motorrad befand und dessen Sitz 40 cm lang war, so genügte er demzufolge den Anforderungen dieser Bestimmung. Eine Vorschrift, wonach ein Motorrad nicht mit einem Sitz für bloss eine Person ausgerüstet sein oder ein für den Transport von zwei Personen genügend langer Sitz nicht nachträglich gegen einen solchen für bloss eine Person ausgewechselt werden dürfe, besteht nicht. Die Angabe im Fahrzeugausweis, das Fahrzeug sei für eine bestimmte Zahl von Personen zugelassen, ist, wie sich aus Art. 85 Abs. 1 BAV ergibt, keine Vorschrift in diesem Sinne; sie bezeichnet lediglich die Höchstzahl von Personen, die mit diesem transportiert werden dürfen. Das Motorrad des Beschwerdeführers befand sich, wenn auf dem selben eine Sitzbank von 40 cm Länge montiert war, demnach in vorschriftsgemässem Zustand.</w:t>
      </w:r>
    </w:p>
    <w:p>
      <w:r>
        <w:rPr>
          <w:b/>
        </w:rPr>
        <w:t>E. 3</w:t>
      </w:r>
    </w:p>
    <w:p>
      <w:r>
        <w:t>Gemäss Art. 83 Abs. 4 BAV hat der Halter eines Fahrzeuges der Behörde vor dessen Weiterverwendung Umbauten zu melden, welche die Fahrzeugeinteilung verändern. Als Fahrzeugeinteilung BGE 104 IV 121 S. 124 im Sinne dieser Bestimmung ist die Einteilung der Fahrzeuge in die einzelnen Kategorien, wie sie der mit "Einteilung der Fahrzeuge" überschriebene zweite Abschnitt der BAV (Art. 2 ff.) vornimmt, zu verstehen. Durch den Austausch der Zweiersitzbank gegen einen Einersitz ist an der Einteilung des Fahrzeuges des Beschwerdeführers in die Kategorie der Motorräder nichts geändert worden. Der Beschwerdeführer hat demzufolge Art. 83 Abs. 4 BAV nicht zuwidergehandelt, wenn er die erfolgte Auswechslung der Sitzbank an seinem Motorrad der zuständigen Behörde anzuzeigen unterliess.</w:t>
      </w:r>
    </w:p>
    <w:p>
      <w:r>
        <w:rPr>
          <w:b/>
        </w:rPr>
        <w:t>E. 4</w:t>
      </w:r>
    </w:p>
    <w:p>
      <w:r>
        <w:t>Art. 83 Abs. 4 BAV behält indessen die Pflicht zur Meldung weiterer im Fahrzeugausweis einzutragender neuer Tatsachen ausdrücklich vor. Gemäss Art. 74 Abs. 5 VZV hat der Inhaber unter Vorlage des Fahrzeugausweises der Behörde innert 14 Tagen jede Tatsache zu melden, die eine Änderung oder Ersetzung des Ausweises erfordert. Die Montage eines nur für den Transport einer einzigen Person genügenden Sitzes auf ein für zwei Plätze zugelassenes Motorrad stellt eine solche Tatsache dar, da der Fahrzeugausweis die Anzahl der Plätze eines Fahrzeuges nennt. Der Beschwerdeführer hätte sich demzufolge, wenn er die vorgenommene Änderung nicht fristgemäss anzeigte, gemäss Art. 143 Ziff. 3 VZV strafbar gemacht. Eine Verletzung dieser Bestimmung wäre indessen erheblich milder zu bestrafen als die Benützung eines nicht betriebssicheren oder vorschriftswidrigen Fahrzeuges.</w:t>
      </w:r>
    </w:p>
    <w:p>
      <w:r>
        <w:rPr>
          <w:b/>
        </w:rPr>
        <w:t>E. 5</w:t>
      </w:r>
    </w:p>
    <w:p>
      <w:r>
        <w:t>Die Vorinstanz wird, sofern nach kantonalem Strafverfahrensrecht eine Verurteilung des Beschwerdeführers auf Grund von Art. 74 Abs. 5 und 143 Ziff. 3 VZV statt der von ihr angewendeten Bestimmungen der BAV und des SVG zulässig ist, zu prüfen haben, ob der Beschwerdeführer den Straftatbestand des Art. 143 Ziff. 3 VZV erfüllt hat. Gebricht es an einer dieser beiden Voraussetzungen, so wird sie den Beschwerdeführer freizusprechen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