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348</w:t>
      </w:r>
    </w:p>
    <w:p>
      <w:r>
        <w:t>Bundesgericht (BGE), 1978-01-01, FR</w:t>
      </w:r>
    </w:p>
    <w:p>
      <w:r>
        <w:rPr>
          <w:b/>
        </w:rPr>
        <w:t xml:space="preserve">Quelle: </w:t>
      </w:r>
      <w:r>
        <w:t>https://mcp.opencaselaw.ch/entscheid/bge_BGE_104_II_348</w:t>
      </w:r>
    </w:p>
    <w:p>
      <w:r>
        <w:t>FR: ATF 104 II 348</w:t>
      </w:r>
    </w:p>
    <w:p>
      <w:r>
        <w:t>IT: DTF 104 II 348</w:t>
      </w:r>
    </w:p>
    <w:p>
      <w:pPr>
        <w:pStyle w:val="Heading2"/>
      </w:pPr>
      <w:r>
        <w:t>Regeste</w:t>
      </w:r>
    </w:p>
    <w:p>
      <w:r>
        <w:t>Regeste Bauhandwerkerpfandrecht (Art. 837 Abs. 1 Ziff. 3 ZGB). 1. Wer Frischbeton herstellt und für den Bau eines Hauses an ein Bauunternehmen liefert, hat Anspruch auf ein Bauhandwerkerpfandrecht (Bestätigung der Rechtsprechung) (E. II 1). 2. Die Frist von drei Monaten, innert welcher das Pfandrecht einzutragen ist (Art. 839 Abs. 2 ZGB), beginnt nicht mit jeder Lieferung von Frischbeton zu laufen, sondern erst mit der letzten Lieferung (E. II 2). 3. Der Generalunternehmer, der schuldhaft ein Werk abliefert, das mit einem gesetzlichen Grundpfandrecht zu Gunsten eines Unterakkordanten belastet ist, erfüllt den Vertrag mangelhaft; der Besteller hat in einem solchen Fall das Recht, vom vereinbarten Preis einen Abzug zu machen (E. III).</w:t>
      </w:r>
    </w:p>
    <w:p>
      <w:r>
        <w:t>Regeste Hypothèque légale des artisans et entrepreneurs (art. 837 al. 1 ch. 3 CC). 1. Celui qui fabrique et livre du béton frais à une entreprise pour la construction d'un immeuble a droit à l'hypothèque légale des artisans et entrepreneurs (confirmation de jurisprudence) (c. II 1). 2. Le délai de trois mois dans lequel l'inscription doit être requise (art. 839 al. 2 CC) ne court pas à partir de chaque livraison de béton frais, mais seulement dès la dernière fourniture (c. II 2). 3. L'entrepreneur général qui, par sa carence, livre un ouvrage grevé d'une hypothèque légale en faveur d'un sous-traitant n'exécute pas correctement son obligation: aussi le maître a-t-il le droit d'opérer une réduction sur le prix convenu (c. III).</w:t>
      </w:r>
    </w:p>
    <w:p>
      <w:r>
        <w:t>Regesto Ipoteca legale degli artigiani e imprenditori (art. 837 cpv. 1 n. 3 CC). 1. Chi produce e fornisce calcestruzzo fresco a un'impresa per la costruzione di un immobile ha diritto all'ipoteca legale degli artigiani e imprenditori (conferma della giurisprudenza) (consid. II 1). 2. Il termine di tre mesi entro il quale l'ipoteca va richiesta (art. 839 cpv. 2 CC) non comincia a decorrere da ognuna delle forniture di calcestruzzo fresco, bensì dall'ultima (consid. II 2). 3. L'appaltatore generale che, per sua colpa, consegna un'opera gravata da un'ipoteca legale a favore di un subappaltatore non adempie correttamente il contratto; il committente ha pertanto diritto ad operare una riduzione sul prezzo convenuto (consid. III).</w:t>
      </w:r>
    </w:p>
    <w:p>
      <w:pPr>
        <w:pStyle w:val="Heading2"/>
      </w:pPr>
      <w:r>
        <w:t>Erwägungen</w:t>
      </w:r>
    </w:p>
    <w:p>
      <w:r>
        <w:rPr>
          <w:b/>
        </w:rPr>
        <w:t>E. 1</w:t>
      </w:r>
    </w:p>
    <w:p>
      <w:r>
        <w:t>Rejette le recours en tant qu'il est dirigé contre la demanderesse Bétonfrais + Pompages S.A. et confirme le dispositif I du jugement du 16 juin 1978. BGE 104 II 348 S. 356</w:t>
      </w:r>
    </w:p>
    <w:p>
      <w:r>
        <w:rPr>
          <w:b/>
        </w:rPr>
        <w:t>E. 2</w:t>
      </w:r>
    </w:p>
    <w:p>
      <w:r>
        <w:t>Admet le recours en tant qu'il est dirigé contre Béton Bau S.A. en liquidation concordataire et réforme les jugements du 21 mars 1977 et du 16 juin 1978 en ce sens que la défenderesse Le Trajan Lausanne S.A. est en droit de déduire de sa dette envers Béton Bau S.A. en liquidation concordataire, à concurrence de 84'040 fr. 20, toute somme qu'elle aurait payée ou devrait payer à la demanderesse Bétonfrais + Pompages S.A. pour dégrever son immeuble de l'hypothèque légale inscrite en faveur de cette société.</w:t>
      </w:r>
    </w:p>
    <w:p>
      <w:r>
        <w:rPr>
          <w:b/>
        </w:rPr>
        <w:t>E. 3</w:t>
      </w:r>
    </w:p>
    <w:p>
      <w:r>
        <w:t>Déclare le recours sans objet dans la mesure où il vise le dispositif II du jugement du 21 mars 1977, dispositif annulé par arrêt du 22 juin 1977 de la Chambre des recours du Tribunal cantonal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