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246</w:t>
      </w:r>
    </w:p>
    <w:p>
      <w:r>
        <w:t>Bundesgericht (BGE), 1978-01-01, DE</w:t>
      </w:r>
    </w:p>
    <w:p>
      <w:r>
        <w:rPr>
          <w:b/>
        </w:rPr>
        <w:t xml:space="preserve">Quelle: </w:t>
      </w:r>
      <w:r>
        <w:t>https://mcp.opencaselaw.ch/entscheid/bge_BGE_104_II_246</w:t>
      </w:r>
    </w:p>
    <w:p>
      <w:r>
        <w:t>FR: ATF 104 II 246</w:t>
      </w:r>
    </w:p>
    <w:p>
      <w:r>
        <w:t>IT: DTF 104 II 246</w:t>
      </w:r>
    </w:p>
    <w:p>
      <w:pPr>
        <w:pStyle w:val="Heading2"/>
      </w:pPr>
      <w:r>
        <w:t>Regeste</w:t>
      </w:r>
    </w:p>
    <w:p>
      <w:r>
        <w:t>Regeste Massnahmen für die Dauer eines im Ausland eingeleiteten Scheidungsprozesses; Zuständigkeit des schweizerischen Eheschutzrichters. Die Zuständigkeit des schweizerischen Eheschutzrichters entfällt nicht schon mit der Einleitung des Scheidungsverfahrens im Ausland, sondern erst dann, wenn der ausländische Richter vorsorgliche Massnahmen für die Dauer des Prozesses angeordnet hat und diese in der Schweiz vollstreckbar erklärt worden sind.</w:t>
      </w:r>
    </w:p>
    <w:p>
      <w:r>
        <w:t>Regeste Mesures pour la durée d'un procès de divorce introduit à l'étranger; compétence du juge suisse des mesures protectrices de l'union conjugale. Le juge suisse des mesures protectrices de l'union conjugale ne cesse pas d'être compétent dès l'ouverture du procès en divorce à l'étranger, mais seulement quand le juge étranger a ordonné des mesures provisoires pour la durée du procès et que celles-ci ont été déclarées exécutoires en Suisse.</w:t>
      </w:r>
    </w:p>
    <w:p>
      <w:r>
        <w:t>Regesto Provvedimenti per la durata di una causa di divorzio aperta all'estero; competenza del giudice svizzero chiamato ad adottare le misure necessarie alla tutela dell'unione coniugale. Il giudice svizzero competente per le misure destinate a tutelare l'unione coniugale non cessa d'essere competente al momento in cui è aperto all'estero il processo di divorzio, ma soltanto allorquando il giudice straniero abbia ordinato misure provvisionali per la durata del processo e le stesse siano state dichiarate esecutive in Svizzera.</w:t>
      </w:r>
    </w:p>
    <w:p>
      <w:pPr>
        <w:pStyle w:val="Heading2"/>
      </w:pPr>
      <w:r>
        <w:t>Erwägungen</w:t>
      </w:r>
    </w:p>
    <w:p>
      <w:r>
        <w:rPr>
          <w:b/>
        </w:rPr>
        <w:t>E. 3</w:t>
      </w:r>
    </w:p>
    <w:p>
      <w:r>
        <w:t>Der Beschwerdeführer hält dafür, mit der Einleitung des Scheidungsprozesses in der Türkei hätten die Zürcher Gerichte die Zuständigkeit verloren, Massnahmen zum Schutze der ehelichen Gemeinschaft im Sinne der Art. 169 ff. ZGB anzuordnen. Gewiss ist nach der Rechtsprechung für Eheschutzmassnahmen grundsätzlich kein Raum mehr, sobald eine Scheidungsklage anhängig gemacht worden ist ( BGE 101 II 2 mit Hinweisen), wobei vom Eheschutzrichter bereits getroffene Massnahmen allerdings in Kraft bleiben, soweit sie vom Scheidungsrichter nicht abgeändert oder aufgehoben werden ( BGE 64 II 396 f. E. 1). Dieser Grundsatz lässt sich indessen nicht ohne weiteres auf einen internationalen Sachverhalt übertragen. Ist ein Scheidungsverfahren im Ausland angehoben worden, so ist eine sofortige vorsorgliche Regelung der Verhältnisse der in der Schweiz lebenden Ehegatten und allfälliger Kinder allein schon aus praktischen Gründen unter Umständen nicht gewährleistet, zumal die getroffenen Massnahmen in der Schweiz vorerst noch anerkannt werden müssen. Es obliegt BGE 104 II 246 S. 248 in einem solchen Fall der schweizerischen Rechtsordnung, für einen lückenlosen Schutz zu sorgen. Der Einwand des Beschwerdeführers, es könnten in der Schweiz höchstens Massnahmen im Sinne von Art. 145 ZGB angeordnet werden, wofür ein fiktives Scheidungsgericht zuständig wäre, ist unbehelflich. Eheschutzmassnahmen können ihrer Natur nach während der ganzen Dauer der Ehe getroffen werden. Die eingangs angeführte Einschränkung der Kompetenz des Eheschutzrichters zugunsten des Scheidungsrichters beruht allein auf der innerstaatlichen Ordnung, die es einer Partei ermöglicht, beim Scheidungsrichter vorsorgliche Massnahmen zu verlangen, die - sofern die gesetzlichen Voraussetzungen erfüllt sind - ohne Verzug anzuordnen und alsdann überall in der Schweiz zu vollstrecken sind. Wo jedoch ein ausländischer Scheidungsrichter angerufen worden, im Sinne der vorstehenden Ausführungen aber dennoch der schweizerische Richter zuständig ist, eine (erste) Regelung der Verhältnisse für die Dauer des Scheidungsprozesses zu treffen, liegen die Dinge wesentlich anders. Aus dem Gesagten ergibt sich, dass die blosse Einleitung eines Scheidungsverfahrens im Ausland weder in der Schweiz bereits getroffene Eheschutzmassnahmen hinfällig werden lässt noch die Zuständigkeit des schweizerischen Richters aufhebt, solche Massnahmen anzuordnen. Die Zuständigkeit der Vorinstanz wäre nur dann entfallen, wenn vom türkischen Scheidungsrichter angeordnete vorsorgliche Massnahmen vor ihrem Entscheid in der Schweiz vollstreckbar erklärt worden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