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154</w:t>
      </w:r>
    </w:p>
    <w:p>
      <w:r>
        <w:t>Bundesgericht (BGE), 1978-01-01, DE</w:t>
      </w:r>
    </w:p>
    <w:p>
      <w:r>
        <w:rPr>
          <w:b/>
        </w:rPr>
        <w:t xml:space="preserve">Quelle: </w:t>
      </w:r>
      <w:r>
        <w:t>https://mcp.opencaselaw.ch/entscheid/bge_BGE_104_II_154</w:t>
      </w:r>
    </w:p>
    <w:p>
      <w:r>
        <w:t>FR: ATF 104 II 154</w:t>
      </w:r>
    </w:p>
    <w:p>
      <w:r>
        <w:t>IT: DTF 104 II 154</w:t>
      </w:r>
    </w:p>
    <w:p>
      <w:pPr>
        <w:pStyle w:val="Heading2"/>
      </w:pPr>
      <w:r>
        <w:t>Regeste</w:t>
      </w:r>
    </w:p>
    <w:p>
      <w:r>
        <w:t>Regeste Art. 153 Abs. 1 ZGB. Die Pflicht zur Entrichtung einer Rente im Sinne von Art. 151 oder 152 ZGB hört auf, wenn der rentenberechtigte Ehegatte nach der Scheidung mit einem Angehörigen des andern Geschlechts eine eheähnliche Lebensgemeinschaft bildet, diesen aber nur deswegen nicht heiratet, um der gesetzlichen Folge des Rentenverlustes auszuweichen.</w:t>
      </w:r>
    </w:p>
    <w:p>
      <w:r>
        <w:t>Regeste Art. 153 al. 1 CC. L'obligation de verser une rente en vertu des art. 151 ou 152 CC prend fin également si, après le divorce, l'époux qui a droit à la rente vit avec une personne du sexe opposé en une union analogue au mariage, mais ne se marie pas à la seule fin d'échapper à la cessation du droit à la rente, conséquence légale du remariage.</w:t>
      </w:r>
    </w:p>
    <w:p>
      <w:r>
        <w:t>Regesto Art. 153 cpv. 1 CC. L'obbligo di versare una rendita ai sensi degli art. 151 o 152 CC cessa se, dopo il divorzio, il coniuge che ha diritto alla rendita vive con una persona del sesso opposto in un'unione analoga al matrimonio, ma non passa a nuove nozze soltanto per evitare la perdita del diritto alla rendita che interverrebbe quale effetto legale del nuovo matrimonio.</w:t>
      </w:r>
    </w:p>
    <w:p>
      <w:pPr>
        <w:pStyle w:val="Heading2"/>
      </w:pPr>
      <w:r>
        <w:t>Erwägungen</w:t>
      </w:r>
    </w:p>
    <w:p>
      <w:r>
        <w:rPr>
          <w:b/>
        </w:rPr>
        <w:t>E. 1</w:t>
      </w:r>
    </w:p>
    <w:p>
      <w:r>
        <w:t>Nach Art. 153 Abs. 1 ZGB hört die Pflicht zur Entrichtung einer Rente im Sinne von Art. 151 bzw. 152 ZGB auf, wenn der berechtigte Ehegatte sich wieder verheiratet. Die Vorinstanz geht in ihrem Entscheid davon aus, im Hinblick auf diese Bestimmung stelle es einen offenbaren Missbrauch eines Rechts dar, wenn der rentenberechtigte Ehegatte nach der Scheidung eine neue Lebensgemeinschaft mit einem Angehörigen des andern Geschlechts bilde, mit diesem aber nicht die Ehe eingehe, um der gesetzlichen Folge des Rentenverlustes BGE 104 II 154 S. 156 auszuweichen. Der Sachverhalt könne der Vereitelung des Eintritts einer rechtsgeschäftlichen Bedingung zur Seite gestellt werden, für welchen Fall Art. 156 OR aus dem allgemeinen Gebot des Handelns nach Treu und Glauben heraus bestimme, dass die Bedingung als erfüllt gelte. Dieser grundsätzlichen Erwägung ist zuzustimmen. Sie steht in Einklang mit der Lehre (HINDERLING, Das schweizerische Ehescheidungsrecht, 3. Aufl., S. 145 N. 1a; MERZ, N. 578 zu Art. 2 ZGB ). Was die Beklagte dagegen vorbringt, hält nicht stich. Gewiss lässt Art. 153 Abs. 1 ZGB die Rentenverpflichtung nur mit der Wiederverheiratung des berechtigten Ehegatten enden. Doch bleibt wie bei jeder Rechtsausübung auch hier der Tatbestand des Rechtsmissbrauchs vorbehalten. Dass in dieser Frage eine Bundesgerichtspraxis nicht besteht, ist sodann entgegen den Ausführungen in der Berufungsschrift ebensowenig von Bedeutung wie der Umstand, dass die Vorinstanz "lediglich" die erwähnte Stelle bei MERZ zitiert.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