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III 52</w:t>
      </w:r>
    </w:p>
    <w:p>
      <w:r>
        <w:t>Bundesgericht (BGE), 1978-08-31, FR</w:t>
      </w:r>
    </w:p>
    <w:p>
      <w:r>
        <w:rPr>
          <w:b/>
        </w:rPr>
        <w:t xml:space="preserve">Quelle: </w:t>
      </w:r>
      <w:r>
        <w:t>https://mcp.opencaselaw.ch/entscheid/bge_BGE_104_III_52</w:t>
      </w:r>
    </w:p>
    <w:p>
      <w:r>
        <w:t>FR: ATF 104 III 52</w:t>
      </w:r>
    </w:p>
    <w:p>
      <w:r>
        <w:t>IT: DTF 104 III 52</w:t>
      </w:r>
    </w:p>
    <w:p>
      <w:pPr>
        <w:pStyle w:val="Heading2"/>
      </w:pPr>
      <w:r>
        <w:t>Regeste</w:t>
      </w:r>
    </w:p>
    <w:p>
      <w:r>
        <w:t>Regeste Anschlusspfändung. Die provisorische Pfändung, die gestützt auf einen im Säumnisverfahren ergangenen Rechtsöffnungsentscheid erwirkt wird, löst die Teilnahmefrist des Art. 110 SchKG aus ungeachtet des Rechts des Schuldners, gegen den Rechtsöffnungsentscheid Einspruch zu erheben.</w:t>
      </w:r>
    </w:p>
    <w:p>
      <w:r>
        <w:t>Regeste Participation à la saisie. La saisie provisoire obtenue sur la base d'un jugement de mainlevée rendu par défaut fait courir le délai de participation de l'art. 110 LP, nonobstant le droit du débiteur de s'opposer au jugement.</w:t>
      </w:r>
    </w:p>
    <w:p>
      <w:r>
        <w:t>Regesto Partecipazione al pignoramento. Il pignoramento provvisorio ottenuto in base ad una sentenza di rigetto dell'opposizione pronunciata in contumacia fa decorrere il termine di partecipazione stabilito dall'art. 110 LEF anche laddove il debitore abbia il diritto di opporsi a tale sentenza.</w:t>
      </w:r>
    </w:p>
    <w:p>
      <w:pPr>
        <w:pStyle w:val="Heading2"/>
      </w:pPr>
      <w:r>
        <w:t>Erwägungen</w:t>
      </w:r>
    </w:p>
    <w:p>
      <w:r>
        <w:rPr>
          <w:b/>
        </w:rPr>
        <w:t>E. 1</w:t>
      </w:r>
    </w:p>
    <w:p>
      <w:r>
        <w:t>Le dessein de la recourante est d'empêcher la formation d'une première série dans laquelle elle ne peut avoir place et, ainsi, de pouvoir participer à la saisie avec la société T.</w:t>
      </w:r>
    </w:p>
    <w:p>
      <w:r>
        <w:rPr>
          <w:b/>
        </w:rPr>
        <w:t>E. 2</w:t>
      </w:r>
    </w:p>
    <w:p>
      <w:r>
        <w:t>Eu égard à la nature particulière de l'instance en mainlevée, le créancier au bénéfice d'un jugement de mainlevée provisoire rendu par défaut doit être admis à requérir la continuation de la poursuite nonobstant le droit qu'aurait le débiteur de former opposition contre le jugement ( ATF 56 III 54 ). BGE 104 III 52 S. 54 La recourante ne le nie pas, mais, comme devant l'autorité cantonale, elle prétend que le délai de participation de l' art. 110 LP commence à courir seulement du jour où le jugement est entré en force. Rien, dans la loi, ne permet d'adopter ce point de vue. L'art. 110 al. 1, 1er phrase, LP, parle, sans plus, des créanciers qui requièrent la saisie dans les trente jours après une première saisie. On doit tenir compte, pour la formation des séries, également d'une réquisition tendant à une saisie provisoire (cf. JAEGER, n. 3 ad art. 110 LP ; FRITZSCHE, Schuldbetreibung und Konkurs, 2e éd., I p. 253). L'argumentation de la recourante ne résiste pas à l'examen: a) Le déroulement de la procédure d'exécution forcée ne doit pas dépendre du droit cantonal de procédure: il n'y aurait plus application uniforme de la loi fédérale. La jurisprudence invoquée par la recourante concerne le délai pour ouvrir action en libération de dette: le Tribunal fédéral a précisément pris soin d'excepter de la règle dégagée en cette matière ce qui a trait aux mesures purement provisionnelles dont le seul but est d'assurer l'exécution forcée, pour éviter de léser irréparablement le droit de priorité du créancier ( ATF 47 III 68 ). b) Prétendre que la saisie perd tout son sens de mesure conservatoire dans le cadre de la poursuite après séquestre, les biens du débiteur étant d'ores et déjà bloqués, c'est raisonner en marge de la loi, qui ne distingue nulle part les effets de la saisie selon qu'elle a été ou non opérée après séquestre. La saisie a des effets plus étendus que le séquestre: elle permet d'appréhender d'autres biens que les avoirs séquestrés, si ceux-ci ne sont pas suffisants. c) Il est vain de s'insurger contre les risques courus par les créanciers qui, pour éviter d'engager des frais importants, ont renoncé à séquestrer ou à poursuivre parce qu'une première série est déjà formée sur la base d'une réquisition de continuer la poursuite déposée après un jugement de mainlevée rendu par défaut. C'est remettre en cause le système des séries: la formation d'un groupe constitué par un créancier saisissant et d'autres créanciers venant, dans un certain délai, participer à la saisie implique forcément l'exclusion des créanciers qui n'ont pas agi en temps utile. d) Dès l'instant que le délai de participation de l' art. 110 al. 1 LP commence à courir, l' art. 281 LP entre en considération BGE 104 III 52 S. 55 dans les conditions déterminées par le Tribunal fédéral (circulaire no 27, du 1er novembre 1910; ATF 101 III 88 89). L'argumentation de la recourante, qui le conteste, revient, sur ce point également, à subordonner le déroulement de la procédure d'exécution forcée à la procédure civile cantonale.</w:t>
      </w:r>
    </w:p>
    <w:p>
      <w:r>
        <w:rPr>
          <w:b/>
        </w:rPr>
        <w:t>E. 3</w:t>
      </w:r>
    </w:p>
    <w:p>
      <w:r>
        <w:t>Au vu de ce qui précède, il n'y a pas eu en l'espèce violation du droit fédéral: le recours doit dès lors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