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III 38</w:t>
      </w:r>
    </w:p>
    <w:p>
      <w:r>
        <w:t>Bundesgericht (BGE), 1978-01-01, DE</w:t>
      </w:r>
    </w:p>
    <w:p>
      <w:r>
        <w:rPr>
          <w:b/>
        </w:rPr>
        <w:t xml:space="preserve">Quelle: </w:t>
      </w:r>
      <w:r>
        <w:t>https://mcp.opencaselaw.ch/entscheid/bge_BGE_104_III_38</w:t>
      </w:r>
    </w:p>
    <w:p>
      <w:r>
        <w:t>FR: ATF 104 III 38</w:t>
      </w:r>
    </w:p>
    <w:p>
      <w:r>
        <w:t>IT: DTF 104 III 38</w:t>
      </w:r>
    </w:p>
    <w:p>
      <w:pPr>
        <w:pStyle w:val="Heading2"/>
      </w:pPr>
      <w:r>
        <w:t>Regeste</w:t>
      </w:r>
    </w:p>
    <w:p>
      <w:r>
        <w:t>Regeste Lohnpfändung (Art. 93 SchKG). 1. Bedeutung einer unpfändbaren Rente. Das Erwerbseinkommen eines Schuldners, der eine unpfändbare Rente bezieht, darf so weit gepfändet werden, als es den durch die Rente nicht gedeckten Teil des Notbedarfs übersteigt (E. 1). 2. Wohnkosten. Bei der Ermittlung des Notbedarfs ist unter Umständen der ortsübliche Mietzins für eine Wohnung einzusetzen, mit der sich zu begnügen dem Schuldner unter den gegebenen Verhältnissen zuzumuten wäre (E. 2).</w:t>
      </w:r>
    </w:p>
    <w:p>
      <w:r>
        <w:t>Regeste Saisie de salaire (art. 93 LP). 1. Portée de l'insaisissabilité d'une rente. Le salaire d'un débiteur qui reçoit une rente insaisissable est saisissable dans la mesure où il est supérieur à la part du minimum vital qui n'est pas couverte par cette rente (c. 1). 2. Frais de logement. Lors de la fixation du minimum vital, il faut, le cas échéant, compter le loyer conforme à l'usage local pour un logement dont, dans les circonstances données, on devrait exiger que le débiteur se contente (c. 2).</w:t>
      </w:r>
    </w:p>
    <w:p>
      <w:r>
        <w:t>Regesto Pignoramento di salario (art. 93 LEF). 1. Portata dell'impignorabilità di una rendita. Il reddito di lavoro di un debitore che beneficia di una rendita impignorabile può essere pignorato fino a concorrenza del minimo vitale non coperto da tale rendita (consid. 1). 2. Spese per l'alloggio. Nel determinare il minimo vitale va eventualmente considerata la pigione conforme all'uso locale per un alloggio del quale si possa pretendere che il debitore si accontenti nelle circostanze concrete (consid. 2).</w:t>
      </w:r>
    </w:p>
    <w:p>
      <w:pPr>
        <w:pStyle w:val="Heading2"/>
      </w:pPr>
      <w:r>
        <w:t>Erwägungen</w:t>
      </w:r>
    </w:p>
    <w:p>
      <w:r>
        <w:rPr>
          <w:b/>
        </w:rPr>
        <w:t>E. 1</w:t>
      </w:r>
    </w:p>
    <w:p>
      <w:r>
        <w:t>Wie das Bundesgericht schon mehrmals entschieden hat, darf das Erwerbseinkommen eines Schuldners, der eine unpfändbare Rente bezieht, so weit gepfändet werden, als es den durch die Rente nicht gedeckten Teil des Notbedarfs übersteigt, denn es sei zu berücksichtigen, dass der Schuldner seinen Lebensunterhalt zu einem Teil aus der unpfändbaren Rente bestreiten könne, so dass er zur Deckung des verbleibenden Teils des Notbedarfs unter Umständen nicht mehr den ganzen Arbeitsverdienst benötige (vgl. BGE 97 III 17 f. hinsichtlich der Leistungen der Militärversicherung mit Hinweisen auf Entscheide, die SUVA- bzw. AHV- und IV-Renten sowie Leistungen einer Familienausgleichskasse betrafen). Die Unpfändbarkeit einer Rente hat also lediglich zur Folge, dass die Rente selbst nicht gepfändet werden darf, nicht aber, dass der Schuldner neben dieser noch einen seinem Notbedarf entsprechenden Teil seines übrigen Einkommens beanspruchen könnte. Entgegen der Behauptung des Rekurrenten beruhte das erwähnte Urteil nicht darauf, dass im betreffenden Rekurs keine Gründe genannt worden waren, die - in Abweichung von den früheren Entscheiden - eine bevorzugte Behandlung der Leistungen der Militärversicherung rechtfertigen würden. Das Bundesgericht hat vielmehr unabhängig vom Fehlen solcher Vorbringen festgehalten, es sei nicht einzusehen, weshalb für diese Leistungen etwas anderes gelten sollte als für die Renten der übrigen Sozialversicherungen ( BGE 97 III 18 oben). Die angeführte Rechtsprechung trifft auf alle Leistungen der erwähnten Versicherungen zu, insbesondere auch auf die von diesen entrichteten Krankengelder (vgl. Art. 96 Abs. 1 in Verbindung mit Art. 72 KUVG ; Art. 47 Abs. 1 in Verbindung mit Art. 14 MVG ). Was der Rekurrent vorbringt, erlaubt nicht, anzunehmen, das Krankengeld, das er von seinem Arbeitgeber ausbezahlt erhält, unterscheide sich von den - unter Umständen zeitlich ebenfalls beschränkten - Krankengeldern der erwähnten Sozialversicherungen. Namentlich macht der Rekurrent nicht etwa geltend, das ihm entrichtete Krankengeld habe nicht der Bestreitung seines Lebensunterhaltes zu dienen. Das Betreibungsamt hat bei dieser Sachlage das Krankengeld bei der Ermittlung des pfändbaren Einkommens zu Recht berücksichtigt, BGE 104 III 38 S. 41 womit sich der Rekurs in diesem Punkt als unbegründet erweist.</w:t>
      </w:r>
    </w:p>
    <w:p>
      <w:r>
        <w:rPr>
          <w:b/>
        </w:rPr>
        <w:t>E. 2</w:t>
      </w:r>
    </w:p>
    <w:p>
      <w:r>
        <w:t>Die Vorinstanz hat nicht übersehen, dass bei der Bemessung des Notbedarfs grundsätzlich die tatsächlichen Wohnkosten einzusetzen sind. Indessen erachtet sie den vom Rekurrenten geltend gemachten Mietzins von Fr. 600.- im Monat für weit übersetzt, weshalb nicht der ganze Betrag berücksichtigt werden könne. Diese Betrachtungsweise findet eine Stütze in der bundesgerichtlichen Rechtsprechung, wonach ein Schuldner, dessen Gläubiger mangels anderer pfändbarer Vermögensstücke seine Einkünfte pfänden lassen müssen, seine Wohnkosten so tief wie möglich zu halten hat ( BGE 87 III 102 ; BGE 57 III 207 ). Wird in einem solchen Fall der effektive Mietzins für zu hoch befunden, so ist bei der Ermittlung des Notbedarfs der ortsübliche Mietzins für eine Wohnung einzusetzen, mit der sich zu begnügen dem Schuldner unter den gegebenen Verhältnissen zuzumuten wäre ( BGE 87 III 102 f. E. 1a). Die obere kantonale Aufsichtsbehörde führt aus, laut Auskunft des Amtes für Wohnungsnachweis der Stadt Zürich betrage die Miete für ein möbliertes Zimmer in einer Wohnung, wie der Rekurrent eines bewohne, bei der heutigen Marktlage im Durchschnitt zwischen Fr. 180.- und Fr. 220.-, für ein Separatzimmer zwischen Fr. 250.- und Fr. 350.- im Monat. Diese Feststellungen sind tatsächlicher Natur und demnach für das Bundesgericht verbindlich. Dass sie unter Verletzung bundesrechtlicher Beweisvorschriften zustande gekommen seien, behauptet der Rekurrent nicht, und es bestehen auch keine Anhaltspunkte für ein offensichtliches Versehen (Art. 63 Abs. 2 in Verbindung mit Art. 81 OG ). Wenn die Vorinstanz aufgrund der von ihr festgestellten Verhältnisse dafür hält, das Betreibungsamt habe bei der Bemessung des Notbedarfs des Rekurrenten die Wohnkosten zu Recht nur mit Fr. 300.- veranschlagt, hat sie das ihr in diesem Punkt zustehende Ermessen nicht missbraucht. Sie durfte in Anbetracht der gegenwärtigen Marktlage insbesondere davon ausgehen, der Rekurrent könnte in Zürich auch kurzfristig ein Zimmer finden und beziehen, das nicht mehr als Fr. 300.- im Monat kosten würde, zumal nach Gesetz die Miete eines Zimmers unter Einhaltung einer zweiwöchigen Kündigungsfrist auf das Ende der monatlichen Mietsdauer aufgelöst werden kann ( Art. 267 Abs. 2 Ziff. 2 OR ) und für den vorliegenden Fall keine abweichende BGE 104 III 38 S. 42 Regelung behauptet worden war. Der Rekurrent bestreitet übrigens selbst nicht, dass ein Zimmerwechsel ohne weiteres möglich wäre. Seine Behauptung, im Mietzins von Fr. 600.- sei berücksichtigt, dass er die ganze Wohnung seiner Vermieterin benützen dürfe und dass er etwas pflegebedürftig sei, ist neu. Da der Rekurrent Gelegenheit und auch Anlass gehabt hätte, sie schon im kantonalen Verfahren vorzubringen, ist darauf nicht einzutreten (Art. 79 Abs. 1 zweiter Satz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