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III 23</w:t>
      </w:r>
    </w:p>
    <w:p>
      <w:r>
        <w:t>Bundesgericht (BGE), 1978-05-30, FR</w:t>
      </w:r>
    </w:p>
    <w:p>
      <w:r>
        <w:rPr>
          <w:b/>
        </w:rPr>
        <w:t xml:space="preserve">Quelle: </w:t>
      </w:r>
      <w:r>
        <w:t>https://mcp.opencaselaw.ch/entscheid/bge_BGE_104_III_23</w:t>
      </w:r>
    </w:p>
    <w:p>
      <w:r>
        <w:t>FR: ATF 104 III 23</w:t>
      </w:r>
    </w:p>
    <w:p>
      <w:r>
        <w:t>IT: DTF 104 III 23</w:t>
      </w:r>
    </w:p>
    <w:p>
      <w:pPr>
        <w:pStyle w:val="Heading2"/>
      </w:pPr>
      <w:r>
        <w:t>Regeste</w:t>
      </w:r>
    </w:p>
    <w:p>
      <w:r>
        <w:t>Regeste Konkursinventar, Art. 197 SchKG. Ist die Zugehörigkeit eines Vermögensrechts zur Konkursmasse streitig, so hat sich das Konkursamt an die Angaben der Gläubiger zu halten und das Recht ins Inventar aufzunehmen.</w:t>
      </w:r>
    </w:p>
    <w:p>
      <w:r>
        <w:t>Regeste Inventaire des biens du failli, art. 197 LP. Lorsque l'appartenance d'un droit à la masse est litigieuse, l'office des faillites doit s'en tenir aux allégations des créanciers et inventorier le droit dans la masse.</w:t>
      </w:r>
    </w:p>
    <w:p>
      <w:r>
        <w:t>Regesto Inventario dei beni del fallito, art. 197 LEF. Ove sia controverso se un diritto appartenga alla massa, l'ufficio dei fallimenti deve attenersi alle indicazioni dei creditori e inventariare il diritto tra i beni della massa.</w:t>
      </w:r>
    </w:p>
    <w:p>
      <w:pPr>
        <w:pStyle w:val="Heading2"/>
      </w:pPr>
      <w:r>
        <w:t>Erwägungen</w:t>
      </w:r>
    </w:p>
    <w:p>
      <w:r>
        <w:rPr>
          <w:b/>
        </w:rPr>
        <w:t>E. 1</w:t>
      </w:r>
    </w:p>
    <w:p>
      <w:r>
        <w:t>Les créanciers de la faillite ont qualité pour porter plainte contre une décision de l'office refusant d'inventorier un bien ( ATF 64 III 36 ).</w:t>
      </w:r>
    </w:p>
    <w:p>
      <w:r>
        <w:rPr>
          <w:b/>
        </w:rPr>
        <w:t>E. 2</w:t>
      </w:r>
    </w:p>
    <w:p>
      <w:r>
        <w:t>L'argumentation des recourants tend à démontrer que, découlant de rapports de travail, le salaire versé en vertu de l' art. 338 CO n'échappe pas à l'actif de la succession. Mais c'est là, à l'instar de l'autorité cantonale de surveillance, situer le débat sur le terrain du droit matériel, qui relève du juge ordinaire (cf. ATF 100 III 66 , 70 et les références). Selon la jurisprudence, lorsque l'existence d'un droit est litigieuse, l'office doit s'en tenir aux allégations des créanciers et inventorier le droit dans la masse ( ATF 81 III 123 /124). Ce principe doit être étendu au cas où, comme en l'espèce, ce qui est contesté, ce n'est pas l'existence du droit, mais son appartenance à la masse. L'une et l'autre question ont trait au fond du litige et échappent donc au pouvoir d'examen des autorités d'exécution. L'office se borne à dresser l'inventaire, mesure purement interne de l'administration de la faillite, sans effet à l'égard des tiers ( ATF 90 III 19 ). La masse peut alors décider de faire valoir la prétention ou y renoncer. En cas de renonciation, les créanciers qui le demanderont (par exemple, les recourants) obtiendront qu'il leur soit fait cession de la prétention, de façon à pouvoir poursuivre la réalisation du droit litigieux en lieu et place de la masse ( art. 260 al. 1 LP ; cf. ATF 93 III 63 ).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