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21 vom 17. Juni 1974</w:t>
      </w:r>
    </w:p>
    <w:p>
      <w:r>
        <w:t>Bundesgericht (BGE), 1974-06-17, FR</w:t>
      </w:r>
    </w:p>
    <w:p>
      <w:r>
        <w:rPr>
          <w:b/>
        </w:rPr>
        <w:t xml:space="preserve">Quelle: </w:t>
      </w:r>
      <w:r>
        <w:t>https://mcp.opencaselaw.ch/entscheid/bge_BGE_104_IB_21</w:t>
      </w:r>
    </w:p>
    <w:p>
      <w:r>
        <w:t>FR: BGE BGE 104 IB 21 du 17 juin 1974</w:t>
      </w:r>
    </w:p>
    <w:p>
      <w:r>
        <w:t>IT: BGE BGE 104 IB 21 del 17 giugno 1974</w:t>
      </w:r>
    </w:p>
    <w:p>
      <w:pPr>
        <w:pStyle w:val="Heading2"/>
      </w:pPr>
      <w:r>
        <w:t>Regeste</w:t>
      </w:r>
    </w:p>
    <w:p>
      <w:r>
        <w:t>Regeste Art. 38 Ziff. 4 StGB: Rückversetzung. Wenn die zuständige Behörde den Richter anfragt, ob der Teil einer Gesamtstrafe, welcher eine oder mehrere während der Probezeit begangene strafbare Handlungen ahndet, drei Monate Freiheitsentzug übersteigt, dann muss sie überprüfen, ob die ihr durch das Gericht, das die Verurteilung ausgesprochen hat, gegebene Antwort den Anforderungen entspricht, die die Rechtsprechung an sie stellt (BGE 101 Ib 154 ff.) (Erw. 1 und 2).</w:t>
      </w:r>
    </w:p>
    <w:p>
      <w:r>
        <w:t>Regeste Art. 38 ch. 4 CP: Réintégration. Lorsque l'autorité compétente interpelle le juge pour savoir si la partie d'une peine d'ensemble sanctionnant la ou les infractions commises pendant le délai d'épreuve est supérieure à trois mois d'incarcération, il lui appartient de vérifier que la réponse qui lui est fournie par le tribunal qui a prononcé la condamnation est conforme aux exigences posées par la jurisprudence (ATF 101 Ib 154 ss.) (consid. 1 et 2).</w:t>
      </w:r>
    </w:p>
    <w:p>
      <w:r>
        <w:t>Regesto Art. 38 n. 4 CP: ricollocamento nello stabilimento. Ove l'autorità competente interpelli il giudice per sapere se la parte di una pena complessiva inflitta per uno o più reati commessi durante il periodo di prova ecceda tre mesi di privazione della libertà personale, incombe ad essa di esaminare se la risposta fornitagli dal tribunale che ha pronunciato la condanna sia conforme alle esigenze poste dalla giurisprudenza (DTF 101 Ib 154 segg.) (consid. 1, 2).</w:t>
      </w:r>
    </w:p>
    <w:p>
      <w:pPr>
        <w:pStyle w:val="Heading2"/>
      </w:pPr>
      <w:r>
        <w:t>Erwägungen</w:t>
      </w:r>
    </w:p>
    <w:p>
      <w:r>
        <w:rPr>
          <w:b/>
        </w:rPr>
        <w:t>E. 1</w:t>
      </w:r>
    </w:p>
    <w:p>
      <w:r>
        <w:t>L'autorité cantonale se trouvant devant un cas où se pose la question de la réintégration d'un détenu libéré conditionnellement, puis condamné à nouveau pour des actes commis pendant le délai d'épreuve et postérieurement à celui-ci, et ne pouvant - malheureusement - déterminer à la lecture du nouveau jugement quelles infractions ont été commises avant l'échéance du délai d'épreuve et quelle est la peine les sanctionnant, a procédé correctement et conformément à la jurisprudence (cf. ATF 101 Ib 154 ) en demandant des précisions à l'autorité qui a prononcé la nouvelle condamnation. C'est en revanche à tort qu'elle s'est fondée sans plus sur les renseignements qui lui étaient fournis, comme elle l'aurait fait à bon droit s'agissant d'une décision exécutoire. En effet, d'une part ces renseignements n'émanaient pas de l'autorité qui avait statué, mais de son président uniquement, dont BGE 104 Ib 21 S. 23 l'appréciation ne saurait se substituer à celle du Tribunal, et, d'autre part, auraient-ils été donnés par le Tribunal comme tel, qu'ils constitueraient en quelque sorte une décision contre laquelle n'est ouverte aucune voie de recours. En effet, si en cas de condamnation sans sursis à une peine privative de liberté supérieure à trois mois, l'autorité compétente doit impérativement ordonner la réintégration, en application de l' art. 38 ch. 4 al. 1 CP , elle doit néanmoins, lorsqu'elle ne se trouve pas en présence d'une décision exécutoire dont elle peut tenir compte directement, mais qu'elle doit demander l'interprétation de celle-ci à l'autorité qui l'a prise, examiner si les indications qui lui sont données ne sont pas manifestement sujettes à caution. Dans cette hypothèse, il lui appartient d'exiger des précisions et, le cas échéant, d'exprimer ses hésitations. Si elle ne procède pas de cette manière, le Tribunal fédéral le fera, ainsi que l'y autorise l' art. 105 al. 1 OJ .</w:t>
      </w:r>
    </w:p>
    <w:p>
      <w:r>
        <w:rPr>
          <w:b/>
        </w:rPr>
        <w:t>E. 2</w:t>
      </w:r>
    </w:p>
    <w:p>
      <w:r>
        <w:t>Si le Tribunal fédéral peut revoir d'office les constatations de fait dans le cadre d'un recours de droit administratif, en dehors des cas prévus à l' art. 105 al. 2 OJ , il ne le fait qu'avec retenue dans les domaines relevant comme ici de l'appréciation ( ATF 100 Ib 367 ). En ces matières, en effet, le Tribunal fédéral reconnaît à l'autorité cantonale un large pouvoir appréciateur et il n'intervient qu'en cas d'excès, que la décision attaquée ait été prise sans que l'ensemble des facteurs déterminants aient été examinés, sur la base de faits contredits par les pièces du dossier, voire simplement sans motivation raisonnable ou suffisante. En l'espèce, on ne comprend vraiment pas en quoi est fondée l'affirmation du président du Tribunal correctionnel qui, lui, n'a pas procédé comme le veut la jurisprudence (cf. ATF précité 101 Ib 154). En effet, une lecture attentive du dossier ne permet de retenir à la charge du recourant, pendant la période antérieure au 5 juillet 1975, que les accusations de R., qui lui aurait acheté chaque semaine depuis 1974 pour 15 fr. de haschisch environ, celles de B., qui au cours de l'hiver 1974/1975 se serait procuré auprès de lui 5 à 10 g de haschisch à deux ou trois reprises et enfin celles de Z. qui à la même époque aurait acquis des stupéfiants auprès de lui. Au vu des autres infractions qui ont été retenues contre le recourant, il est difficile d'admettre sans autre justification que celles décrites ci-dessus méritaient une peine représentant largement plus du BGE 104 Ib 21 S. 24 dixième de celle qui a été prononcée globalement en application de l' art. 68 CP .</w:t>
      </w:r>
    </w:p>
    <w:p>
      <w:r>
        <w:rPr>
          <w:b/>
        </w:rPr>
        <w:t>E. 3</w:t>
      </w:r>
    </w:p>
    <w:p>
      <w:r>
        <w:t>Il convient donc d'admettre le recours et de renvoyer la cause à l'autorité cantonale pour qu'elle prenne une nouvelle décision après avoir demandé les éclaircissements nécessaires au Tribunal correctionnel du district de Lausanne. On relève cependant que si, par hypothèse, ce dernier devait revenir sur l'affirmation de son président, cela ne justifierait pas sans autre qu'il soit renoncé à la réintégration du recourant. Celle-ci est en effet possible même à la suite d'une condamnation inférieure à trois mois d'emprisonnement, lorsque le libéré trompe la confiance mise en lui. Comme l'on sait que le recourant, outre la condamnation prononcée par le Tribunal correctionnel du district de Lausanne le 7 décembre 1977, a été condamné une autre fois, le 17 juin 1974, également pour violation de la LStup, la question de savoir si l'art. 38 ch. 4 al. 2 n'est pas applicable reste posée.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