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157</w:t>
      </w:r>
    </w:p>
    <w:p>
      <w:r>
        <w:t>Bundesgericht (BGE), 1977-10-28, DE</w:t>
      </w:r>
    </w:p>
    <w:p>
      <w:r>
        <w:rPr>
          <w:b/>
        </w:rPr>
        <w:t xml:space="preserve">Quelle: </w:t>
      </w:r>
      <w:r>
        <w:t>https://mcp.opencaselaw.ch/entscheid/bge_BGE_103_V_157</w:t>
      </w:r>
    </w:p>
    <w:p>
      <w:r>
        <w:t>FR: ATF 103 V 157</w:t>
      </w:r>
    </w:p>
    <w:p>
      <w:r>
        <w:t>IT: DTF 103 V 157</w:t>
      </w:r>
    </w:p>
    <w:p>
      <w:pPr>
        <w:pStyle w:val="Heading2"/>
      </w:pPr>
      <w:r>
        <w:t>Regeste</w:t>
      </w:r>
    </w:p>
    <w:p>
      <w:r>
        <w:t>Regeste Art. 9 Abs. 1 lit. a der VO II über die Unfallversicherung, Art. 20 Abs. 1 VwVG. Berechnung der sechsmonatigen Frist zur "gerichtlichen Klage" (recte: Beschwerde) gegen eine Verfügung der SUVA.</w:t>
      </w:r>
    </w:p>
    <w:p>
      <w:r>
        <w:t>Regeste Art. 9 al. 1 lit. a de l'Ord. II sur l'assurance-accidents, art. 20 al. 1 PA. Calcul du délai de six mois pour introduire une demande en justice (recte: un recours) contre une décision de la Caisse nationale.</w:t>
      </w:r>
    </w:p>
    <w:p>
      <w:r>
        <w:t>Regesto Art. 9 cpv. 1 lit. a dell'Ord. II sull'assicurazione contro gl'infortuni, art. 20 cpv. 1 PA. Computo del termine di sei mesi per interporre in giudizio "domanda" (recte: ricorso) contro una decisione dell'INSAI.</w:t>
      </w:r>
    </w:p>
    <w:p>
      <w:pPr>
        <w:pStyle w:val="Heading2"/>
      </w:pPr>
      <w:r>
        <w:t>Erwägungen</w:t>
      </w:r>
    </w:p>
    <w:p>
      <w:r>
        <w:rPr>
          <w:b/>
        </w:rPr>
        <w:t>E. 1</w:t>
      </w:r>
    </w:p>
    <w:p>
      <w:r>
        <w:t>Gemäss Art. 9 Abs. 1 lit. a der Verordnung II über die Unfallversicherung ist die "gerichtliche Klage" gegen die Erledigung von Versicherungsansprüchen durch die SUVA - wenn sie sich gegen die Ablehnung der Entschädigungspflicht für einen Unfall, gegen eine Rentenfestsetzung oder gegen die Verweigerung einer Rentenrevision wendet - innerhalb von sechs Monaten nach der bezüglichen, durch eingeschriebenen Brief an den Ansprecher zu eröffnenden Mitteilung der Anstalt (dans les six mois qui suivent la communication au demandeur, entro i sei mesi dalla communicazione all'attore) zu erheben. Streitig ist im vorliegenden Fall die Berechnung dieser sechsmonatigen Klagefrist. Die Vorinstanz schloss aus Art. 20 Abs. 1 VwVG e contrario, dass die Beschwerdefrist mit dem Tag der Eröffnung zu laufen beginne, und bezeichnete den 23. Mai 1977 als letzten Tag dieser Frist. Der Beschwerdeführer dagegen argumentiert, der Tag, an dem die Verfügung eröffnet worden sei, dürfe bei der Fristberechnung nach allgemein gültigen Regeln nicht mitgerechnet werden. Der erste Tag der Rechtsmittelfrist sei somit der 24. November 1976, so dass die am 24. Mai 1977 der Post übergebene Beschwerde an die Vorinstanz als rechtzeitig zu gelten habe.</w:t>
      </w:r>
    </w:p>
    <w:p>
      <w:r>
        <w:rPr>
          <w:b/>
        </w:rPr>
        <w:t>E. 2</w:t>
      </w:r>
    </w:p>
    <w:p>
      <w:r>
        <w:t>a) Dem Beschwerdeführer ist beizupflichten, dass der Umkehrschluss aus Art. 20 Abs. 1 VwVG über den Gesetzeswortlaut hinausgeht und nirgends eine Stütze findet. Es gibt keinerlei Anhaltspunkte dafür, dass der Bundesgesetzgeber BGE 103 V 157 S. 159 eine von den Normen des übrigen Bundesrechts abweichende Ordnung aufstellen und zum Ausdruck bringen wollte, wonach in der Verwaltungsrechtspflege das Gegenteil von dem gelten soll, was bereits auf dem Gebiet des StGB (Art. 29; BGE 73 IV 6 , BGE 97 IV 238 ), SchKG (Art. 31 Abs. 1), OR (Art. 77 und 132) und ZGB (Art. 7, BGE 42 II 333 ) sowie insbesondere in der Bundesrechtspflege ( Art. 32 Abs. 1 OG ) gilt, nämlich dass bei den Verjährungs-, Verwirkungs- und prozessualen Fristen der Tag, an dem die Frist beginnt, nicht mitzuzählen ist. Auf eine solche Ausnahme kann auch nicht aus dem Wortlaut des oben zitierten Art. 9 Abs. 1 lit. a der Verordnung II über die Unfallversicherung geschlossen werden, auch wenn nach dieser Bestimmung der Fristenlauf mit der Eröffnung der Verfügung ausgelöst wird. Aus der Festsetzung des Tages, an dem eine Frist zu laufen beginnt, ergibt sich noch nicht schlüssig, wie der Lauf der Frist zu berechnen ist. So bestimmt beispielsweise Art. 130 Abs. 2 OR , dass die Verjährung einer auf Kündigung gestellten Forderung mit dem Tag beginnt, auf den die Kündigung zulässig ist; dennoch ist der Tag des Fristbeginns nach Art. 132 Abs. 1 OR nicht mitzuzählen. Der von der Vorinstanz gezogene Umkehrschluss aus Art. 20 Abs. 1 VwVG würde dem Interesse einer im Bundesrecht einheitlichen Fristberechnung zuwiderlaufen und die Rechtssicherheit gefährden. Entscheidend ist indessen, dass bei einer solchen Regelung dem Beschwerdeführer nicht die volle Frist (30 ganze Tage, 6 volle Monate) zur Verfügung stünde; denn die Eröffnung erfolgt im Verlaufe eines Tages in der Regel durch Postzustellung. Vom Eröffnungstag verbleibt dem Beschwerdeführer deshalb nur ein Bruchteil, der nicht in Anschlag zu bringen ist. Die sechsmonatige Klagefrist, innerhalb welcher die am 23. November 1976 eröffnete Verfügung der SUVA angefochten werden konnte, begann demnach am 24. November 1976 um 00.00 Uhr zu laufen. b) Die vom Beschwerdeführer vertretene Auffassung, wonach die Klagefrist erst am 24. Mai 1977 ablief, geht fehl. Der Monat ist nach der Kalenderzeit zu berechnen (vgl. Art. 110 Ziff. 6 StGB ). Die sechsmonatige Frist endete daher am 23. Mai 1977 um 24.00 Uhr ( BGE 97 IV 240 letzter Absatz). Nach der vom Beschwerdeführer geltend gemachten Berechnungsweise beträgt die Frist 6 Monate und ein Tag, weil der BGE 103 V 157 S. 160 24. des Monats (November und Mai) zweimal gezählt würde. Die am 24. Mai 1977 der Post übergebene Beschwerde gegen die Verfügung der SUVA ist mithin verspätet, wie die Vorinstanz im Ergebnis zutreffend erkannt hat.</w:t>
      </w:r>
    </w:p>
    <w:p>
      <w:r>
        <w:rPr>
          <w:b/>
        </w:rPr>
        <w:t>E. 3</w:t>
      </w:r>
    </w:p>
    <w:p>
      <w:r>
        <w:t>Der Beschwerdeführer verlangt ausdrücklich die Wiederherstellung der Rechtsmittelfrist, sofern seine Auffassung keine Unterstützung findet. Gemäss Art. 24 VwVG in Verbindung mit Art. 125 KUVG kann die Wiederherstellung einer Frist erteilt werden, wenn der Gesuchsteller oder sein Vertreter unverschuldet abgehalten worden ist, innert der Frist zu handeln, binnen zehn Tagen nach Wegfall des Hindernisses ein begründetes Begehren um Wiederherstellung einreicht und die versäumte Rechtshandlung nachholt. Die Säumnis des Vertreters des Beschwerdeführers beruht auf einem Rechnungsfehler, den er selbst zu vertreten hat. Er wurde daher nicht "unverschuldet abgehalten", rechtzeitig zu handeln, so dass das Vorliegen der weitern Voraussetzungen für eine Wiederherstellung nicht mehr zu prüfen 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