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50 vom 1. Januar 1977</w:t>
      </w:r>
    </w:p>
    <w:p>
      <w:r>
        <w:t>Bundesgericht (BGE), 1977-01-01, DE</w:t>
      </w:r>
    </w:p>
    <w:p>
      <w:r>
        <w:rPr>
          <w:b/>
        </w:rPr>
        <w:t xml:space="preserve">Quelle: </w:t>
      </w:r>
      <w:r>
        <w:t>https://mcp.opencaselaw.ch/entscheid/bge_BGE_103_Ib_50</w:t>
      </w:r>
    </w:p>
    <w:p>
      <w:r>
        <w:t>FR: BGE BGE 103 Ib 50 du 1 janvier 1977</w:t>
      </w:r>
    </w:p>
    <w:p>
      <w:r>
        <w:t>IT: BGE BGE 103 Ib 50 del 1 gennaio 1977</w:t>
      </w:r>
    </w:p>
    <w:p>
      <w:pPr>
        <w:pStyle w:val="Heading2"/>
      </w:pPr>
      <w:r>
        <w:t>Regeste</w:t>
      </w:r>
    </w:p>
    <w:p>
      <w:r>
        <w:t>Regeste Rodungsbewilligung. Die in Art. 26 Abs. 3 FPolV aufgestellte Richtlinie, wonach finanzielle Interessen nicht als gewichtiges Bedürfnis gelten, ist auch für die Beurteilung von Rodungsgesuchen öffentlich-rechtlicher Körperschaften zu beachten. Dass ein Gemeinwesen für ein bedeutendes, im öffentlichen Interesse liegendes Werk Mittel benötigt und mit der Finanzierung auf dem ordentlichen Weg Mühe hat, stellt keinen ausreichenden Grund dar, um eine Rodung zu bewilligen, die den Verkauf von Bauland ermöglichen sowie aus dessen Erlös die Finanzierung des Werkes sichern soll (Erw. 5).</w:t>
      </w:r>
    </w:p>
    <w:p>
      <w:r>
        <w:t>Regeste Autorisation de défricher. Le principe, posé à l'art. 26 al. 3 OFor., selon lequel des intérêts financiers ne sont pas considérés comme un besoin prépondérant, doit également s'appliquer aux demandes de défrichement émanant des corporations de droit public. Le fait que la collectivité publique ait besoin de moyens financiers pour un ouvrage important d'intérêt public et qu'elle ait de la peine à le financer par la voie ordinaire ne constitue pas un motif suffisant d'autoriser un défrichement qui devrait rendre possible la vente de terrains à bâtir et assurer ainsi le financement de l'ouvrage (consid. 5).</w:t>
      </w:r>
    </w:p>
    <w:p>
      <w:r>
        <w:t>Regesto Autorizzazione di dissodamento. Il principio posto dall'art. 26 cpv. 3 OVPF, secondo cui gli interessi finanziari non sono considerati necessità preponderante, si applica anche alle domande di dissodamento presentate da enti di diritto pubblico. Il fatto che una collettività pubblica abbia bisogno di mezzi finanziari per un'opera importante d'interesse pubblico e che incontri difficoltà a finanziarla con le proprie risorse ordinarie non costituisce un motivo sufficiente per autorizzare un dissodamento destinato a rendere possibile la vendita di terreno edificabile e garantire così il finanziamento dell'opera (consid. 5).</w:t>
      </w:r>
    </w:p>
    <w:p>
      <w:pPr>
        <w:pStyle w:val="Heading2"/>
      </w:pPr>
      <w:r>
        <w:t>Erwägungen</w:t>
      </w:r>
    </w:p>
    <w:p>
      <w:r>
        <w:rPr>
          <w:b/>
        </w:rPr>
        <w:t>E. 5</w:t>
      </w:r>
    </w:p>
    <w:p>
      <w:r>
        <w:t>Gemäss Art. 26 FPolV dürfen Rodungen nur bewilligt werden, wenn sich hiefür ein gewichtiges, das Interesse an der Walderhaltung überwiegendes Bedürfnis nachweisen lässt. a) Ein solches Bedürfnis kann namentlich anerkannt werden, wenn das geplante Werk auf den vorgesehenen Standort im bisher bewaldeten Gebiet angewiesen ist. Ferienhäuser sind an sich - im Gegensatz zu Hochspannungsleitungen, Eisenbahnlinien oder Skipisten - überhaupt nicht standortgebunden. Die Rodung zur Schaffung von Bauland wurde bisher nur ganz ausnahmsweise als zulässig betrachtet, und zwar in Gemeinden mit sehr hohem Waldanteil an der Gesamtfläche und keiner andern Möglichkeit zu einer gewissen baulichen Entwicklung; dabei wurde stets verlangt, dass dieses Bedürfnis zur Beanspruchung von Wald durch die Ortsplanung überzeugend nachgewiesen sei. Zur Förderung des Tourismus in einer bestimmten Ortschaft oder Region wurden Rodungen bewilligt, sofern sich das konkrete Projekt auf Gesamtstudien stützen konnte, aus denen hervorging, dass das geplante Werk für die lokale Entwicklung von grosser Bedeutung sein konnte ( BGE 98 Ib 499 E. 7; BGE 96 I 506 E. 4). Im vorliegenden Fall wird nicht behauptet, die vorgesehene Schaffung von Bauplätzen für Ferienhäuser dränge sich aus planerischen Gründen auf, weil nicht genügend Bauland zur Verfügung stehe, sodass für diesen Zweck eine gewisse Waldfläche im Interesse einer vernünftigen Entwicklung geopfert werden sollte. Es wird auch nicht geltend gemacht, die vorgesehene Überbauung wäre für den Tourismus von entscheidender Bedeutung. Eine solche Argumentation könnte angesichts des Entwicklungsstandes von Montana-Vermala auch kaum BGE 103 Ib 50 S. 52 stichhaltig sein. Eine Standortgebundenheit, auch eine relative Standortgebundenheit im weitesten Sinne (z.B. Notwendigkeit der Baulandbeschaffung in der Gemeinde oder Region), ist somit nicht nachgewiesen. Die Überlegung, die Burgergemeinde als Waldeigentümerin brauche Geld für die Schlossrestauration und habe nur gerade an dieser Stelle ihres Grundeigentums die Möglichkeit, Bauland abzutreten, führt nicht zu einer Standortgebundenheit im Sinne von Art. 26 Abs. 3 FPolV , so wenig wie die Argumentation eines privaten Waldeigentümers, er könne das für seine Familie zweckmässige Einfamilienhaus nur bauen, wenn ihm eine Rodung auf seinem Grundstück bewilligt werde. b) Zwischen der in Frage stehenden Rodung und der Erhaltung des Schlosses Venthône besteht kein räumlicher oder sachlicher, sondern ausschliesslich ein finanzieller Zusammenhang. Die Burgergemeinde möchte durch Verkauf von Bauplätzen Geldmittel beschaffen, um ihren Beitrag an die Restauration des Schlosses leisten zu können. Die in Art. 26 Abs. 3 FPolV aufgestellte Richtlinie, wonach finanzielle Interessen nicht als gewichtiges Bedürfnis gelten, ist selbstverständlich auch für die Beurteilung von Rodungsgesuchen öffentlich-rechtlicher Körperschaften zu beachten. Dass ein Gemeinwesen für bedeutende, im öffentlichen Interesse liegende Werke - wie Strassen, Schulhäuser, Kanalisation usw. - Mittel braucht und mit der Finanzierung auf dem ordentlichen Weg Mühe hat, kann an sich kein Grund sein, durch Bewilligung einer Rodung den Verkauf von Bauland zu ermöglichen. Würde man diese Grundsatzfrage anders entscheiden, so wäre das Walderhaltungsgebot in weitem Masse in Frage gestellt; denn für die Gemeinden und Bürgergemeinden als Waldeigentümer wäre die Versuchung doch recht gross, bedeutende Bauvorhaben mindestens teilweise durch Rodung von wenig ertragreichem Wald zu finanzieren. Wäre es zulässig, das öffentliche Interesse an einem konkreten Vorhaben dem Interesse an der Erhaltung von ein paar Aren Wald gegenüberzustellen, so müsste wohl die grossräumig konzipierte, auf lange Frist angelegte Walderhaltung gegenüber einem nachgewiesenen akuten Bedürfnis meistens unterliegen. Das entspräche dem klaren Zweck des Forstpolizeirechts nicht. Zudem würden auf diesem Wege die öffentlichrechtlichen Körperschaften gegenüber den privaten Waldeigentümern BGE 103 Ib 50 S. 53 in einer stossenden Weise privilegiert. Während der Private seinen Wald erhalten muss und nicht zur Beschaffung von flüssigen Mitteln roden darf, müssten die Gemeinwesen sich nicht im selben Mass an das Walderhaltungsgebot halten, sondern könnten zu Finanzierungszwecken Rodungsbewilligungen bekommen. c) Der Staatsrat des Kantons Wallis hat denn auch richtigerweise sich zur Begründung des angefochtenen Entscheides nicht in allgemeiner Form auf eine solche Möglichkeit der Finanzierung öffentlicher Aufgaben durch Rodung berufen. Er glaubt aber, der besondere Fall der Erhaltung des Schlosses Venthône vermöge die erteilte Rodungsbewilligung zu rechtfertigen. Die Erhaltung eines schützenswerten historischen Baudenkmals ist rechtlich gesehen eine öffentliche Aufgabe wie irgendeine andere. Dass deren Erfüllung über den Kreis der Gemeinde hinaus von kantonalem oder nationalem Interesse ist, kommt allenfalls durch Subventionen von Bund und Kanton zum Ausdruck. Aus grundsätzlichen Erwägungen ist wegen der Konsequenzen für die gesamte Forstpolizei die Überlegung abzulehnen, eine Rodung dürfe zur Beschaffung finanzieller Mittel bewilligt werden, wenn der Erlös für die Erfüllung einer solchen dringlichen öffentlichen Aufgabe bestimmt sei. Der Wald darf nicht in diesem Sinn als finanzielle Reserve betrachtet werden. d) Ob allenfalls in Extremfällen - etwa bei einer Gemeinde, die sich in einer finanziellen Notlage befindet und die Erhaltung eines ihr gehörenden wertvollen Bauwerks nur durch eine Waldrodung zu finanzieren vermag - ein gewichtiges, das Interesse an der Walderhaltung überwiegendes Bedürfnis anerkannt werden dürfte, kann hier offen bleiben. Abgesehen davon, dass Beiträge von Bund und Kanton solche Situationen zeitlicher und sachlicher Dringlichkeit weitgehend vermeiden sollten, lässt sich nämlich im vorliegenden Fall aufgrund der Akten nicht annehmen, die Erhaltung des Schlosses Venthône sei nur möglich, wenn die Rodung bewilligt werde. Dass das Schloss einer gründlichen baulichen Erneuerung bedarf, war offenbar schon seit Jahren bekannt. Die Kosten der vorgesehenen Arbeiten belaufen sich nach Voranschlag auf Fr. 956'000.--. Dadurch soll das Gebäude in einen für die BGE 103 Ib 50 S. 54 Verwaltung brauchbaren Zustand versetzt werden. An diese Gesamtkosten bezahlen der Kanton und die politische Gemeinde nach den nicht bestrittenen Angaben des Beschwerdeführers zusammen Fr. 500'000.--. Die Bundessubvention beträgt 45% der subventionsberechtigten Kosten. Subventionsberechtigt ist, was der Erhaltung des Baudenkmals dient; nicht subventioniert werden Einrichtungen für die bessere Benützbarkeit. Wenn keine besonders kostspieligen Einrichtungen in der Gesamtsumme enthalten sind, dürfte die Bundessubvention mindestens Fr. 300'000.-- bis Fr. 400'000.-- betragen. Der noch ungesicherte Restbetrag der Finanzierung kann somit kaum sehr bedeutend sein. Auf jeden Fall ist der Nachweis keineswegs erbracht, dass ohne die Rodung die Erhaltung des Bauwerks gefährdet wäre. Der Bund ist zwar mit der Gewährung und Auszahlung seiner Subventionen immer etwas im Rückstand und wartet meistens die Vollendung der Restauration ab. In dringenden Fällen sind aber vorherige Zahlungen möglich. Obschon durchaus glaubhaft ist, dass es der Burgergemeinde Venthône nicht leicht fällt, einen angemessenen Beitrag an die Restauration zu leisten, so ist doch die Erhaltung des Bauwerks finanziell soweit gesichert und nicht von der Rodung abhängig. Durch die angefochtene Rodung soll nicht einer eigentlichen finanziellen Notlage gesteuert werden, die nicht auf andere Weise zu meistern wäre und den baulichen Zerfall des Schlosses zur Folge haben müsste; vielmehr will der Staatsrat mit der Rodungsbewilligung die Restfinanzierung auf einem einfachen Weg ermöglichen. Damit verletzt er jedoch das Forstpolizeirecht des Bundes.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