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27 vom 1. Januar 1977</w:t>
      </w:r>
    </w:p>
    <w:p>
      <w:r>
        <w:t>Bundesgericht (BGE), 1977-01-01, DE</w:t>
      </w:r>
    </w:p>
    <w:p>
      <w:r>
        <w:rPr>
          <w:b/>
        </w:rPr>
        <w:t xml:space="preserve">Quelle: </w:t>
      </w:r>
      <w:r>
        <w:t>https://mcp.opencaselaw.ch/entscheid/bge_BGE_103_Ib_27</w:t>
      </w:r>
    </w:p>
    <w:p>
      <w:r>
        <w:t>FR: BGE BGE 103 Ib 27 du 1 janvier 1977</w:t>
      </w:r>
    </w:p>
    <w:p>
      <w:r>
        <w:t>IT: BGE BGE 103 Ib 27 del 1 gennaio 1977</w:t>
      </w:r>
    </w:p>
    <w:p>
      <w:pPr>
        <w:pStyle w:val="Heading2"/>
      </w:pPr>
      <w:r>
        <w:t>Regeste</w:t>
      </w:r>
    </w:p>
    <w:p>
      <w:r>
        <w:t>Regeste Art. 38 StGB, bedingte Entlassung aus der Strafverbüssung. Beurteilung der Bewährungsaussichten, Zusammenfassung der Rechtsprechung.</w:t>
      </w:r>
    </w:p>
    <w:p>
      <w:r>
        <w:t>Regeste Art. 38 CP, libération conditionnelle. Etablissement du pronostic sur les perspectives d'amendement, bilan de la jurisprudence.</w:t>
      </w:r>
    </w:p>
    <w:p>
      <w:r>
        <w:t>Regesto Art. 38 CP, liberazione condizionale. Valutazione delle prospettive di buona condotta in libertà, sintesi della giurisprudenza.</w:t>
      </w:r>
    </w:p>
    <w:p>
      <w:pPr>
        <w:pStyle w:val="Heading2"/>
      </w:pPr>
      <w:r>
        <w:t>Erwägungen</w:t>
      </w:r>
    </w:p>
    <w:p>
      <w:r>
        <w:rPr>
          <w:b/>
        </w:rPr>
        <w:t>E. 1</w:t>
      </w:r>
    </w:p>
    <w:p>
      <w:r>
        <w:t>Von den Voraussetzungen, unter denen nach Art. 38 StGB ein Strafgefangener bedingt entlassen werden kann, ist einzig umstritten, ob der Beschwerdeführer sich in der Freiheit bewähren werde. Wie bei der Zubilligung des bedingten Strafvollzuges ist auch bei der bedingten Entlassung für die Beurteilung des künftigen Wohlverhaltens eine Gesamtwürdigung durchzuführen, um eine möglichst zuverlässige Grundlage für die Prognose zu erhalten. Es sind somit das gesamte Vorleben, die Täterpersönlichkeit, das deliktische und sonstige Verhalten des Täters zu untersuchen. Nach ständiger Praxis des Kassationshofes darf allein aus einwandfreiem Verhalten in der Anstalt nicht ohne weiteres auf künftige Bewährung geschlossen werden, pflegen doch gerade schwere Berufsverbrecher sich in eigenem Interesse im Strafvollzug mustergültig aufzuführen, nach der Entlassung BGE 103 Ib 27 S. 28 aber ihre kriminelle Tätigkeit wieder aufzunehmen ( BGE 98 Ib 107 , BGE 101 Ib 153 ). Welche Art von Delikt zur Strafhaft geführt hat, ist an sich für die Prognose nicht entscheidend. Die Entlassung darf nicht für gewisse Tatkategorien erschwert werden. Dagegen sind die Umstände der Straftat insoweit beachtlich, als sie Rückschlüsse auf die Täterpersönlichkeit und damit auf das künftige Verhalten erlauben. Ob die mit einer bedingten Entlassung in gewissem Masse stets verbundene Gefahr neuer Delikte ( BGE 98 Ib 107 )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schlechthin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 dieses Institut seines Sinnes beraubt würde. Anderseits darf aber auch nicht aufgrund einzelner günstiger Faktoren die bedingte Entlassung bewilligt werden, obwohl gewichtigere Anhaltspunkte für die Gefahr neuer Rechtsbrüche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