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188 vom 1. Januar 1977</w:t>
      </w:r>
    </w:p>
    <w:p>
      <w:r>
        <w:t>Bundesgericht (BGE), 1977-01-01, DE</w:t>
      </w:r>
    </w:p>
    <w:p>
      <w:r>
        <w:rPr>
          <w:b/>
        </w:rPr>
        <w:t xml:space="preserve">Quelle: </w:t>
      </w:r>
      <w:r>
        <w:t>https://mcp.opencaselaw.ch/entscheid/bge_BGE_103_Ib_188</w:t>
      </w:r>
    </w:p>
    <w:p>
      <w:r>
        <w:t>FR: BGE BGE 103 Ib 188 du 1 janvier 1977</w:t>
      </w:r>
    </w:p>
    <w:p>
      <w:r>
        <w:t>IT: BGE BGE 103 Ib 188 del 1 gennaio 1977</w:t>
      </w:r>
    </w:p>
    <w:p>
      <w:pPr>
        <w:pStyle w:val="Heading2"/>
      </w:pPr>
      <w:r>
        <w:t>Regeste</w:t>
      </w:r>
    </w:p>
    <w:p>
      <w:r>
        <w:t>Regeste Art. 10 Abs. 4 VStrR. Zahlung einer in Haft umgewandelten Busse. Auch eine nachträgliche Teilzahlung der Busse ist zulässig und an den noch nicht verbüssten Teil der Umwandlungsstrafe anzurechnen. In welchem Umfang die Haft verkürzt wird, ist nach dem in Art. 10 Abs. 3 VStrR aufgestellten Schlüssel zu berechnen.</w:t>
      </w:r>
    </w:p>
    <w:p>
      <w:r>
        <w:t>Regeste Art. 10 al. 4 DPA. Paiement d'une amende convertie en arrêts. Il est possible d'effectuer un paiement partiel après que l'amende eut été convertie en arrêts et de l'imputer sur la partie de la peine qui n'a pas encore été purgée. C'est conformément à l'art. 10 al. 3 DPA qu'il faut déterminer dans quelle mesure la peine d'arrêts sera réduite.</w:t>
      </w:r>
    </w:p>
    <w:p>
      <w:r>
        <w:t>Regesto Art. 10 cpv. 4 DPA. Pagamento di una multa commutata in arresto. È consentito effettuare un pagamento parziale della multa anche dopo che questa sia stata commutata in arresto; tale pagamento parziale va imputato sulla parte non ancora espiata della pena commutativa. La riduzione della pena dell'arresto ha luogo nella misura risultante dall'applicazione dell'art. 10 cpv. 3 DPA.</w:t>
      </w:r>
    </w:p>
    <w:p>
      <w:pPr>
        <w:pStyle w:val="Heading2"/>
      </w:pPr>
      <w:r>
        <w:t>Erwägungen</w:t>
      </w:r>
    </w:p>
    <w:p>
      <w:r>
        <w:rPr>
          <w:b/>
        </w:rPr>
        <w:t>E. 1</w:t>
      </w:r>
    </w:p>
    <w:p>
      <w:r>
        <w:t>Der Beschwerdeführer ist der Meinung, nach der Umwandlung der Busse in Haft müssten, wie vor der Bussenumwandlung, Teilzahlungen unter entsprechender Reduktion der Haftstrafe entgegengenommen werden. Die gegenteilige Ansicht der kantonalen Vollzugsbehörden sei willkürlich und führe zu ungleicher Behandlung. Streitig ist somit nicht die Umwandlung der Busse selber, worüber der Richter befindet, sondern ob auch eine nach rechtskräftiger Umwandlung geleistete Teilzahlung auf die Haftstrafe angerechnet werden müsse. Das ist eine Frage des eidgenössischen Rechts, die den Strafvollzug betrifft. Zulässiges Rechtsmittel, um diese Rechtsfrage zur Entscheidung zu bringen, ist daher die Verwaltungsgerichtsbeschwerde, die der staatsrechtlichen Beschwerde vorgeht ( Art. 84 Abs. 2 und Art. 100 lit. f OG ; BGE 69 IV 153 Nr. 34). Die Eingabe richtet sich gegen eine letztinstanzliche Verfügung der kantonalen Vollzugsbehörde ( Art. 90 Abs. 2 VStrR , Art. 98 lit. g OG ). Auf die Beschwerde ist daher einzutreten.</w:t>
      </w:r>
    </w:p>
    <w:p>
      <w:r>
        <w:rPr>
          <w:b/>
        </w:rPr>
        <w:t>E. 2</w:t>
      </w:r>
    </w:p>
    <w:p>
      <w:r>
        <w:t>Nach Art. 10 Abs. 3 VStrR hat der Richter, der eine Busse umwandelt, Teilzahlungen in der Weise zu berücksichtigen, dass er die Umwandlungsstrafe im Verhältnis dieser Teilzahlungen zum ganzen Bussenbetrag herabsetzt, wobei 30 Franken einem Tag Haft (oder Einschliessung) gleichzustellen sind; Absatz 4 des Art. 10 VStrR sieht sodann vor, dass die Bezahlung der Busse nach der Umwandlung den Wegfall der Umwandlungsstrafe bewirkt, soweit diese noch nicht vollzogen ist. a) Die erwähnten neuen Bestimmungen des Verwaltungsstrafrechts weichen sowohl vom bisher geltenden Recht BGE 103 Ib 188 S. 190 ( Art. 317 BStP ) als auch von der Ordnung des Strafgesetzbuches ( Art. 49 StGB ) ab. Die frühere Praxis des Bundesrates als Beschwerdeinstanz in Strafvollzugssachen, nach der die nachträgliche Zahlung einer rechtskräftig in Haft umgewandelten Busse nicht von der Verbüssung der Umwandlungsstrafe befreie (VEB 1948-50 Nr. 104), kann somit heute nicht mehr angerufen werden. Leitender Gesichtspunkt des neuen Rechts, das in Art. 10 Abs. 4 VStrR die nachträgliche Zahlung ausdrücklich zulässt, ist nun, dass die von Gesetzes wegen verwirkte Strafe an sich die Busse ist, während die Haft nur deren Ersatz darstellt. Damit wird auch den fiskalischen Interessen des Verwaltungsstrafrechts besser Rechnung getragen. b) Von Teilzahlungen ist zwar nur in Art. 10 Abs. 3 VStrR die Rede, der sich auf Zahlungen vor der Umwandlung der Busse bezieht. Die verhältnismässige Anrechnung solcher Teilzahlungen auf die Umwandlungsstrafe hat im Verwaltungsstrafrecht ihre besondere Berechtigung, weil oft hohe Fiskalbussen verhängt werden und die Bezahlung in Teilbeträgen bewilligt werden kann. Doch stehen keine gewichtigen Gründe entgegen, den Ersatzcharakter der Haft auch bei Teilzahlungen nach der Bussenumwandlung zur Geltung zu bringen, nachdem das Gesetz in Absatz 4 selber die Bezahlung der Busse auch nach rechtskräftiger Umwandlung, also auch noch während des Vollzuges der Umwandlungsstrafe für zulässig erklärt hat. Absatz 4 des Art. 10 VStrR spricht freilich nur von Bezahlung der Busse. Der wirkliche Sinn dieser Wendung kann aber nicht der sein, dass der Verurteilte, der bereits einen Teil der Busse durch den Vollzug der Umwandlungsstrafe verbüsst hat, sich nur durch Bezahlung der ganzen ursprünglichen Busse vom Vollzug der Reststrafe befreien könne. Eine solche Auslegung hätte zur Folge, dass der schon verbüsste Teil der Strafe wieder aufleben würde und zweimal verbüsst werden müsste, das eine Mal in Form der Haft, das zweite Mal durch Bussenzahlung. Das wäre unhaltbar und widerspräche auch dem Sinn des Bussenentscheides und des Urteils, durch das der Richter die Busse in eine entsprechend hohe Haft umgewandelt hat. Vielmehr kann in Absatz 4 nur die Busse gemeint sein, soweit sie nicht durch Verbüssung der Umwandlungsstrafe bereits dahingefallen ist. Reicht aber der angebotene Teilbetrag nicht aus, die durch Haftverbüssung noch nicht BGE 103 Ib 188 S. 191 hinfällig gewordene Busse zu decken, so verbleibt der Verurteilte solange in Haft, bis er auch den Teil der Busse erstanden hat, der durch die nachträgliche Zahlung nicht gedeckt wird. Dabei ist der Teil der Haft, der durch den angebotenen Betrag dahinfällt, nach dem in Art. 10 Abs. 3 Satz 2 VStrR aufgestellten Schlüssel zu errechnen. c) Entgegen der Ansicht der Vorinstanz bedeutet die Berücksichtigung der nachträglichen Zahlung keinen Eingriff der Vollzugsbehörde ins richterliche Urteil. Die Teilzahlung ist ein Umstand, der nach dem Umwandlungsurteil eingetreten ist und dem die Vollzugsbehörde ohne Eingriff in die Rechtskraft des Urteils Rechnung tragen kann, wie sie z.B. auch berechtigt ist, gemäss Art. 38 StGB den Verurteilten vorzeitig bedingt zu entlassen, gemäss Art. 73 StGB wegen Verjährung vom Vollzug abzusehen oder gemäss Art. 375 StGB die Sicherheitshaft nach Erlass des vollstreckbaren Urteils anzurechnen. d) Auch wenn der Beschwerdeführer schon vor der Bussenumwandlung in der Lage gewesen sein sollte, aus dem im Strafvollzug erworbenen Verdienstanteil einen Teil der Busse zu bezahlen, er sich aber erst nachträglich zur Leistung der Zahlung entschlossen hätte, so könnte ein solches Vorgehen nicht als rechtsmissbräuchlich angesehen werden. Darin läge daher kein Grund, die Entgegennahme der nachträglichen Teilzahlung abzulehnen.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