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557 vom 1. Januar 1977</w:t>
      </w:r>
    </w:p>
    <w:p>
      <w:r>
        <w:t>Bundesgericht (BGE), 1977-01-01, DE</w:t>
      </w:r>
    </w:p>
    <w:p>
      <w:r>
        <w:rPr>
          <w:b/>
        </w:rPr>
        <w:t xml:space="preserve">Quelle: </w:t>
      </w:r>
      <w:r>
        <w:t>https://mcp.opencaselaw.ch/entscheid/bge_BGE_103_Ia_557</w:t>
      </w:r>
    </w:p>
    <w:p>
      <w:r>
        <w:t>FR: BGE BGE 103 Ia 557 du 1 janvier 1977</w:t>
      </w:r>
    </w:p>
    <w:p>
      <w:r>
        <w:t>IT: BGE BGE 103 Ia 557 del 1 gennaio 1977</w:t>
      </w:r>
    </w:p>
    <w:p>
      <w:pPr>
        <w:pStyle w:val="Heading2"/>
      </w:pPr>
      <w:r>
        <w:t>Regeste</w:t>
      </w:r>
    </w:p>
    <w:p>
      <w:r>
        <w:t>Regeste Art. 85 lit. a OG; Durchführung der Gemeindewahlen nach dem Proporzsystem; Verteilung der Restmandate. 1. Im Verfahren der konkreten Normenkontrolle prüft das Bundesgericht nur, wie es sich mit der Verfassungsmässigkeit der beanstandeten Norm bei Anwendung auf die konkreten Umstände des Beschwerdefalles verhält (E. 3a). 2. Kognition des Bundesgerichts bei der Stimmrechtsbeschwerde, insbes. in bezug auf die Auslegung des kant. Verfassungsrechts (E. 3b). 3. Vereinbarkeit von Art. 67 Abs. 1 WahlG-VS, wonach an der Verteilung der Restmandate nur jene Wahllisten teilnehmen, die bei der ersten Verteilung mindestens einen Sitz erlangt haben, mit Art. 87 Abs. 1 KV-VS, wonach die Gemeindewahlen "nach dem Proporzsystem" durchzuführen sind (E. 3c).</w:t>
      </w:r>
    </w:p>
    <w:p>
      <w:r>
        <w:t>Regeste Art. 85 let. a OJ; élections communales selon le système de la représentation proportionnelle; répartition des sièges restants. 1. Dans la procédure du contrôle concret des normes, le Tribunal fédéral n'examine la constitutionnalité de la disposition critiquée que par rapport aux circonstances concrètes du cas litigieux (consid. 3a). 2. Pouvoir d'examen du Tribunal fédéral dans les recours pour violation du droit de vote des citoyens, notamment en ce qui concerne l'interprétation du droit constitutionnel cantonal (consid. 3b). 3. L'art. 67 al. 1 de la loi valaisanne sur les élections et les votations, selon lequel seules les listes qui ont obtenu au moins un siège lors de la première répartition peuvent participer à la répartition des sièges restants, est compatible avec l'art. 87 al. 1 Cst. val., d'après lequel les élections communales se font selon le système de la représentation proportionnelle (consid. 3c).</w:t>
      </w:r>
    </w:p>
    <w:p>
      <w:r>
        <w:t>Regesto Art. 85 lett. a OG; elezioni comunali secondo il sistema della rappresentanza proporzionale; ripartizione dei seggi residui. 1. Nella procedura del controllo concreto delle norme il Tribunale federale esamina la costituzionalità della disposizione censurata soltanto in relazione con le circostanze concrete del caso litigioso (consid. 3a). 2. Cognizione del Tribunale federale nell'esame dei ricorsi per violazione del diritto di voto dei cittadini, in particolare con riferimento all'interpretazione del diritto costituzionale cantonale (consid. 3b). 3. L'art. 67 cpv. 1 della legge vallesana sulle elezioni e votazioni, secondo cui solo le liste che abbiano ottenuto nella prima ripartizione almeno un seggio possono partecipare alla ripartizione dei seggi, è compatibile con l'art. 87 cpv. 1 della cost. vallesana, il quale stabilisce che le elezioni comunali vanno effettuate secondo il sistema della ripartizione proporzionale (consid. 3c).</w:t>
      </w:r>
    </w:p>
    <w:p>
      <w:pPr>
        <w:pStyle w:val="Heading2"/>
      </w:pPr>
      <w:r>
        <w:t>Erwägungen</w:t>
      </w:r>
    </w:p>
    <w:p>
      <w:r>
        <w:rPr>
          <w:b/>
        </w:rPr>
        <w:t>E. 2</w:t>
      </w:r>
    </w:p>
    <w:p>
      <w:r>
        <w:t>a) Art. 87 Abs. 1 der Walliser Kantonsverfassung bestimmt, dass die Gemeindewahlen nach dem Proporzsystem durchgeführt werden, es sei denn, die kommunale Urversammlung BGE 103 Ia 557 S. 559 entscheide sich mit 4/5 Mehrheit für das Majorzsystem. Art. 87 Abs. 4 KV sodann sieht vor, dass die Anwendung dieses Grundsatzes durch das Gesetz geregelt wird. Der Walliser Gesetzgeber ist diesem Auftrag in den Art. 78 ff. des Wahlgesetzes nachgekommen, wo insbesondere vorgesehen ist, dass für die nach dem Proporzsystem durchzuführenden Gemeindewahlen die Vorschriften Anwendung finden, die gemäss den Art. 62 ff. für die Wahl des Grossen Rates gelten. Danach erfolgt die Verteilung der Sitze auf die verschiedenen Listen im Verhältnis zu den erzielten Parteistimmen. Nach Ausschluss derjenigen Listen, die das Quorum von 10% des Parteistimmentotals nicht erreicht haben, erhalten die übrigen Listen bei der ersten Verteilung so viele Sitze, als die nach Art. 66 Abs. 1 WahlG zu ermittelnde Wahlzahl in den erzielten Parteistimmenzahlen enthalten ist. Die Wahlzahl wird dabei so berechnet, dass das Stimmentotal durch die um eins erhöhte Zahl der zu bestellenden Mandate dividiert und die sich ergebende Zahl auf die nächsthöhere ganze aufgerundet wird (Art. 65 und 66 WahlG). Für die zweite Verteilung enthält Art. 67 Abs. 1 WahlG folgende Regelung: "Wenn nach dieser Verteilung nicht alle Sitze zugewiesen sind, wird die Gesamtstimmenzahl jeder Liste, die bei der ersten Verteilung einen Sitz erlangt hat, durch die um eins erhöhte Zahl der ihr zugeteilten Sitze geteilt und der erste unverteilte Sitz wird jener Liste zugewiesen, die den grössten Quotienten aufwies." b) Die Beschwerdeführer anerkennen, dass die Liste der Freien Wähler nur 412 Parteistimmen erzielte und dass dies bei einer Wahlzahl von 466 nicht reichte, um bei der ersten Verteilung einen Sitz zu erhalten. Sie machen jedoch geltend, die Liste hätte bei der zweiten Verteilung berücksichtigt werden müssen, weil der Vorschrift von Art. 67 WahlG nicht in klarer Weise entnommen werden könne, dass bei der ersten Verteilung erfolglos gebliebene Listen von der zweiten Verteilung ausgeschlossen seien. Diese Rüge ist jedoch offensichtlich unbegründet. Aus dem Wortlaut von Art. 67 Abs. 1 WahlG geht in eindeutiger Weise hervor, dass bei der zweiten Verteilung lediglich diejenigen Listen zu berücksichtigen sind, die bei der ersten Verteilung einen Sitz erlangt haben, und es bestehen keinerlei Anzeichen dafür, dass dieser Wortlaut den Sinn der Vorschrift nicht richtig wiedergebe. Es kann deshalb nicht gesagt werden, der Staatsrat habe Art. 67 Abs. 1 WahlG unrichtig angewandt, BGE 103 Ia 557 S. 560 wenn er die Zuteilung des Restmandates an die Freien Wähler ablehnte.</w:t>
      </w:r>
    </w:p>
    <w:p>
      <w:r>
        <w:rPr>
          <w:b/>
        </w:rPr>
        <w:t>E. 3</w:t>
      </w:r>
    </w:p>
    <w:p>
      <w:r>
        <w:t>Die Beschwerdeführer machen weiter geltend, Art. 67 Abs. 1 WahlG sei mit der Kantonsverfassung unvereinbar, wenn er in der beschriebenen Weise ausgelegt werde. Unter diesen Umständen bilde die Kombination von Quorum und Wahlzahl in all denjenigen Wahlkreisen, in welchen weniger als neun Sitze zu verteilen seien, eine selbst für bedeutende Minderheiten unüberwindbare Schranke. In diesen Wahlkreisen sei die Wahlzahl nämlich höher als die zur Erreichung des Quorums notwendige Parteistimmenzahl, was häufig zur Folge habe, dass Parteien, die das Quorum erreicht hätten, bei der ersten Verteilung keinen Sitz zugeteilt erhielten und deshalb auch bei der Verteilung der Restmandate unberücksichtigt blieben. Diese Regelung sei mit dem System des Proporzwahlverfahrens nicht vereinbar. Damit machen die Beschwerdeführer geltend, die beanstandete Bestimmung des Wahlgesetzes verletze Art. 87 Abs. 1 KV, wonach die Gemeindewahlen - unter Vorbehalt eines gegenteiligen Beschlusses der Urversammlung - "nach dem Proporzsystem" durchzuführen sind. a) Nach der Rechtsprechung des Bundesgerichts kann die Verfassungswidrigkeit einer allgemeinen Norm auch noch im Anschluss an eine darauf gestützte Anwendungsverfügung gerügt werden. Erweist sich dieser Vorwurf als begründet, so führt dies freilich nicht zur Aufhebung der beanstandeten Vorschrift, sondern bloss zur Kassation des angefochtenen Entscheids ( BGE 102 Ia 326 ). Auch diese Rechtsfolge kann aber nur eintreten, wenn sich die Vorschrift eben bei Anwendung auf die konkreten Umstände des Beschwerdefalles als verfassungswidrig herausstellt. Im Verfahren der konkreten Normenkontrolle ist einzig diese Frage zu prüfen, und das Bundesgericht hat nicht zu untersuchen, wie es sich mit der Verfassungsmässigkeit der Norm unter anderen als den Verhältnissen des streitigen Anwendungsaktes verhält. Im vorliegenden Fall bedeutet das, dass der Einspracheentscheid des Staatsrates nur dann zu kassieren ist, wenn die Beschwerdeführer dartun können, dass Art. 67 Abs. 1 WahlG bei Anwendung auf die Grächener Gemeinderatswahlen mit dem Proporzsystem (Art. 87 Abs. 1 KV) unvereinbar ist. b) Bei Beschwerden betreffend die politische Stimmberechtigung und betreffend kantonale Wahlen und Abstimmungen BGE 103 Ia 557 S. 561 ( Art. 85 lit. a OG ) überprüft das Bundesgericht nicht nur die Auslegung von Bundesrecht und kantonalem Verfassungsrecht frei, sondern auch die Auslegung anderer kantonaler Vorschriften, welche den Inhalt des Stimm- und Wahlrechts normieren oder mit diesem in engem Zusammenhang stehen. In ausgesprochenen Zweifelsfällen schliesst es sich jedoch der von der obersten kantonalen Behörde vertretenen Auslegung an ( BGE 103 Ia 155 E. 2c; BGE 101 Ia 232 E. 1; BGE 100 Ia 238 mit Hinweisen). Art. 87 Abs. 1 der Walliser Kantonsverfassung sieht vor, dass die Gemeindewahlen - unter Vorbehalt eines gegenteiligen Beschlusses der kommunalen Urversammlung - "nach dem Proporzsystem" durchgeführt werden. Welcher Art dieses Proporzsystem ist, regelt die Verfassung nicht, sondern sie überlässt es ausdrücklich der Gesetzgebung, hierüber die näheren Vorschriften aufzustellen. Wie das Bundesgericht schon in einem früheren Fall ausgeführt hat (Urteil Geissbühler vom 28. März 1962, in JdT 110/1962, I, S. 271 ff.), besteht nicht "ein" bestimmtes Proporzsystem, sondern gibt es verschiedene Möglichkeiten, ein Verhältniswahlverfahren zu schaffen. Zwischen diesen Möglichkeiten kann sich der kantonale Gesetzgeber, dem die Verfassung in allgemeiner Weise die Ausgestaltung des Wahlverfahrens nach dem Proporzsystem aufgetragen hat, frei entscheiden, und es ist nicht Sache des Bundesgerichts, in diesen Gestaltungsspielraum einzugreifen und seine Beurteilung an diejenige der kantonalen Behörde zu setzen. Das Bundesgericht schreitet vielmehr nur dann ein, wenn die getroffene Lösung nicht mehr als proportionales Wahlverfahren bezeichnet werden kann und sie damit zur kantonalen Verfassungsvorschrift in Widerspruch steht. In BGE 100 Ia 268 wurde ausgeführt, die Überprüfung des Bundesgerichts beschränke sich auf Willkür, wenn die kantonale Behörde unmittelbar gestützt auf eine Verfassungsbestimmung gehandelt habe, die ihr hinsichtlich der Wahl der zu treffenden Massnahmen einen Ermessensbereich einräume. Mit dieser Umschreibung, die zu Missverständnissen Anlass geben kann, wollte nicht zum Ausdruck gebracht werden, dass das Bundesgericht die Auslegung des kantonalen Verfassungsrechts unter den erwähnten Umständen nicht frei, sondern nur mit beschränkter Kognition überprüfe. Im damaligen Fall war in der Kantonsverfassung vorgesehen, dass der Regierungsrat bei Unfähigkeit einer Gemeinde, einzelne Zweige der Gemeindeverwaltung BGE 103 Ia 557 S. 562 zu ordnen, "die erforderlichen Massnahmen" treffe. Mit der in BGE 100 Ia 268 verwendeten Formulierung wollte gesagt sein, dass das Bundesgericht den Inhalt einer solchen, von der Verfassung in das Ermessen der kantonalen Behörde gestellten Massnahme nur darauf hin überprüfe, ob die Behörde bei der Ausübung ihres Ermessens in Willkür verfallen sei. Ein anderer Schluss ist aus jenem Entscheid, der in diesem Sinne klargestellt werden soll, nicht zu ziehen. c) Ein proportionales Wahlverfahren kennzeichnet sich seinem Ziel nach dadurch, dass es den verschiedenen Gruppierungen, die sich an den Wahlen beteiligen, eine zahlenmässige Vertretung in den zu bestellenden staatlichen Organen ermöglicht, die ihrem Wähleranteil weitgehend entspricht (vgl. die Botschaft des Bundesrates betreffend das Volksbegehren um Einführung der Verhältniswahl für Wahlen in den schweizerischen Nationalrat, BBl 1914, II, S. 124; ferner den Bericht der Studienkommission zur Prüfung von Reformvorschlägen für die Wahl des Nationalrates und das Stimmrechtsalter, Bern 1972, S. 26, im folgenden: Reformbericht; Urteil Geissbühler, E. 3). Es ist indes eine Erfahrungstatsache, dass ein solches Wahlverfahren leicht zu einer Zersplitterung der politischen Gruppierungen führt und dass diese Erscheinung die wirksame Erfüllung der öffentlichen Aufgaben erschwert. Das Bundesgericht hat deshalb anerkannt, dass der kantonale Gesetzgeber Vorkehren gegen diese nachteiligen Folgen des Verhältniswahlverfahrens treffen kann, und dass ihm das auch dann zusteht, wenn die Kantonsverfassung ohne nähere Präzisierung von der Ausgestaltung des Wahlverfahrens "nach dem Proporzsystem" spricht (Urteil Geissbühler, E. 3). Als solche Massnahme kommt vorab die Errichtung eines Quorums in Frage, das diejenigen Gruppierungen von der Verteilung der Mandate ausschliesst, die weniger als einen bestimmten Prozentsatz des Stimmentotals erreicht haben. Eine Sperrwirkung wird ferner dadurch erreicht, dass zur Verteilung der Restmandate nur diejenigen Listen zugelassen werden, deren Stimmenzahl die Höhe der Wahlzahl erreicht, und die demnach mindestens ein Vollmandat erzielt haben. Möglich ist schliesslich, wie es in der Walliser Gesetzgebung der Fall ist, dass diese beiden Massnahmen kombiniert werden (vgl. dazu im einzelnen: Reformbericht, S. 15). Es versteht sich jedoch von selbst, dass solchen Einschränkungen Grenzen gesetzt sind und dass sie als unzulässig BGE 103 Ia 557 S. 563 gelten müssen, wenn sie sich nicht nur gegen die dargelegten nachteiligen Auswirkungen des proportionalen Wahlverfahrens richten, sondern das Wesen dieses Wahlsystems verändern (Urteil Geissbühler, E. 3). Die Liste der Freien Wähler erreichte im vorliegenden Fall das Quorum von 10% des Stimmentotals, weshalb auf die Frage, ob die Sperrklausel in dieser Höhe zulässig sei, nicht näher eingegangen werden muss. Es lässt sich aber ohne weiteres feststellen, dass ein solches Quorum nicht beanstandet werden kann, wenn eine Behörde zu wählen ist, die aus lediglich fünf Mitgliedern besteht und ein Sitz demnach einem Stimmenanteil von 20% entspricht (vgl. Urteil Geissbühler, E. 4, hinsichtlich eines Quorums von 15%, das für die Wahl des Grossen Rates vorgesehen war). Es kann aber auch nicht gesagt werden, der Ausschluss der Freien Wähler von der Verteilung des Restmandats, wie Art. 67 WahlG dies für diejenigen Listen vorsieht, die bei der ersten Verteilung ohne Sitz geblieben sind, sei mit dem Proporzsystem unvereinbar. Nach dem Walliser Wahlgesetz hat bei der ersten Verteilung jede Liste, die das erforderliche Quorum erreichte, Anspruch auf soviele Sitze, als die Wahlzahl - die sich aus der Division des Stimmentotals durch die um eins vermehrte Zahl der zu bestellenden Mandate ergibt - in der erzielten Parteistimmenzahl enthalten ist. Im vorliegenden Fall wäre der Liste der Freien Wähler bei der ersten Verteilung demnach ein Sitz zugewiesen worden, wenn sie mindestens einen Sechstel des Stimmentotals erreicht hätte. Wenn diese Liste leer ausging, so geschah dies deshalb, weil sie nicht nur weniger als den einem Mandat genau entsprechenden Stimmenanteil von einem Fünftel erreichte, sondern selbst weniger als einen Sechstel des Stimmentotals auf sich vereinigte. Könnte sie, wie die Beschwerdeführer es verlangen, bei der zweiten Verteilung Anspruch auf das Restmandat erheben, so würde die Liste der Freien Wähler einen grösseren Sitzanteil (einen Fünftel) erhalten, als ihrem Stimmenanteil (weniger als ein Sechstel) entspricht. Darauf gibt Art. 87 KV, der die Durchführung der Gemeindewahlen nach dem Proporzsystem verlangt, jedoch kein Anrecht, und es kann unter den vorliegenden Umständen von einer Verletzung dieser Verfassungsvorschrift nicht gesprochen werden. Die Beschwerdeführer machen zusätzlich geltend, bei Anwendung von Art. 67 WahlG entfalle auf einen Stimmenanteil BGE 103 Ia 557 S. 564 von 41% (Listen Nr. 2 und 3) nur ein einziger Sitz, während auf einen Anteil von 58% (Liste Nr. 1) vier Sitze kämen. Das sei im Rahmen eines proportionalen Wahlverfahrens unhaltbar. Auch dieser Einwand ist unbegründet, denn es waren nicht die Listen Nr. 2 und 3, die mit einem Stimmenanteil von 41% einen Sitz errangen, sondern es war die Liste Nr. 2 allein, die mit 26,9% ein Mandat erreichte. Die Liste Nr. 3 ging, wie bereits dargelegt, leer aus, weil sie weniger als einen Sechstel aller Stimmen auf sich vereinigte, und die Liste Nr. 1 schliesslich erzielte mit einem Stimmenanteil von 58,3% vier Sitze, wovon 3 Vollmandate und das Restmandat. Es trifft freilich zu und widerspiegelt sich in diesen Zahlen, dass die Regelung, wie sie in Art. 67 Abs. 1 WahlG getroffen wurde (Ausschluss der Listen, die bei der ersten Verteilung keinen Sitz erreichten; Verteilung der Restmandate nach dem System des grössten Quotienten) bei der Verteilung der Restmandate die grossen Parteien begünstigt. Sie bewirkt, dass Restmandate eher diesen als den kleinen Parteien zufallen und hat zur Folge, dass eher die grossen als die kleinen Parteien einen höheren Sitzanteil erlangen, als ihrem Stimmenanteil entspricht (vgl. dazu Reformbericht, S. 28). Eine solche Regelung, die der Zersplitterung der politischen Kräfte entgegenwirkt, steht zum proportionalen Wahlsystem jedoch nicht in Widerspruch, und der kantonale Gesetzgeber ist nicht gehalten, einen Verteilungsmodus mit der entgegengesetzten Tendenz vorzusehen. Im gleichen Sinne hat sich das Bundesgericht bereits im nicht veröffentlichten Urteil Torrent vom 17. September 1937 ausgesprochen, wovon abzuweichen kein Anlass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