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288 vom 21. September 1977</w:t>
      </w:r>
    </w:p>
    <w:p>
      <w:r>
        <w:t>Bundesgericht (BGE), 1977-09-21, DE</w:t>
      </w:r>
    </w:p>
    <w:p>
      <w:r>
        <w:rPr>
          <w:b/>
        </w:rPr>
        <w:t xml:space="preserve">Quelle: </w:t>
      </w:r>
      <w:r>
        <w:t>https://mcp.opencaselaw.ch/entscheid/bge_BGE_103_Ia_288</w:t>
      </w:r>
    </w:p>
    <w:p>
      <w:r>
        <w:t>FR: BGE BGE 103 Ia 288 du 21 septembre 1977</w:t>
      </w:r>
    </w:p>
    <w:p>
      <w:r>
        <w:t>IT: BGE BGE 103 Ia 288 del 21 settembre 1977</w:t>
      </w:r>
    </w:p>
    <w:p>
      <w:pPr>
        <w:pStyle w:val="Heading2"/>
      </w:pPr>
      <w:r>
        <w:t>Regeste</w:t>
      </w:r>
    </w:p>
    <w:p>
      <w:r>
        <w:t>Regeste Art. 2 ÜbBest. BV; erbrechtlicher Pflichtteilsanspruch. Die Kantone waren nicht nur während einer bestimmten Frist befugt, von der Pflichtteilsregelung des ZGB (Art. 471) abzuweichen und den Pflichtteilsanspruch der Geschwister entweder aufzuheben oder ihn auf die Nachkommen der Geschwister auszudehnen (Art. 472); diese Befugnis steht ihnen auch heute noch zu.</w:t>
      </w:r>
    </w:p>
    <w:p>
      <w:r>
        <w:t>Regeste Art. 2 Disp. trans. Cst.; réserve légale du droit successoral. La faculté, pour les cantons, de supprimer la réserve des frères et soeurs ou au contraire de l'étendre aux descendants des frères et soeurs (art. 472 CC) n'a pas été limitée dans le temps; cette faculté existe encore actuellement.</w:t>
      </w:r>
    </w:p>
    <w:p>
      <w:r>
        <w:t>Regesto Art. 2 disp. trans. Cost.; porzione legittima del diritto successorio. La facoltà attribuita ai Cantoni di escludere la porzione legittima dei fratelli e sorelle oppure, al contrario, di estenderla ai discendenti di questi (art. 472 CC), non è stata limitata nel tempo; essa sussiste tuttora.</w:t>
      </w:r>
    </w:p>
    <w:p>
      <w:pPr>
        <w:pStyle w:val="Heading2"/>
      </w:pPr>
      <w:r>
        <w:t>Erwägungen</w:t>
      </w:r>
    </w:p>
    <w:p>
      <w:r>
        <w:rPr>
          <w:b/>
        </w:rPr>
        <w:t>E. 2</w:t>
      </w:r>
    </w:p>
    <w:p>
      <w:r>
        <w:t>a) Die Frage, ob ein Kanton berechtigt sei, nachträglich vom Pflichtteilsrecht gemäss Art. 471 ZGB abzuweichen und auf Grund von Art. 472 ZGB zu einer der dort vorgesehenen beiden anderen Wahlmöglichkeiten überzugehen (Aufhebung des Pflichtteils der Geschwister oder Ausdehnung des Pflichtteilsschutzes auf die Nachkommen der Geschwister), hat sich bis heute nie gestellt. Wohl sind nicht sämtliche Kantone bei dem im Zeitpunkt des Inkrafttretens des ZGB gewählten System geblieben, doch bedeuteten die im Kanton Appenzell Ausserrhoden im Jahre 1969, im Kanton Luzern im Jahre 1975 und im Kanton Glarus im Jahre 1977 erfolgten Gesetzesänderungen ein Aufgeben des Pflichtteilsschutzes der Nachkommen von Geschwistern und damit eine Angleichung des kantonalen Rechtes an die subsidiäre Regelung des Bundesrechtes. Der Fall des Kantons Zürich ist somit der erste, in dem über die Zulässigkeit eines nachträglichen Abweichens von der Lösung des ZGB zu befinden ist. b) Zunächst spricht der Wortlaut von Art. 472 ZGB zugunsten der Zulässigkeit einer nachträglichen, von derjenigen BGE 103 Ia 288 S. 290 des Art. 471 ZGB abweichenden Rechtsgestaltung durch die Kantone. Er besagt, die Kantone seien befugt, für die Beerbung ihrer Angehörigen, die in ihrem Gebiete den letzten Wohnsitz gehabt hätten, den Pflichtteilsanspruch der Geschwister entweder aufzuheben oder ihn auf die Nachkommen der Geschwister auszudehnen. Wenn im Gesetz von einer "Befugnis" die Rede ist, so kann diese nach üblichem Sprachgebrauch jederzeit ausgeübt werden, sofern nicht ausdrücklich eine gesetzliche Verwirkungsfrist vorgesehen ist. Hier fehlt im Text jeder Anhaltspunkt für die von den Beschwerdeführern behauptete Einschränkung der Befugnis in zeitlicher Hinsicht. Eine derart wesentliche Einschränkung hätte indessen im Gesetzestext ihren Ausdruck finden müssen. Mit dem an sich zutreffenden Argument, Vorbehalte seien einschränkend auszulegen, lässt sich dagegen nicht aufkommen. Was die Beschwerdeführer behaupten, würde eine Ausnahme vom Vorbehalt darstellen, die nicht vermutet werden darf. c) Die Beschwerdeführer berufen sich für ihre abweichende Auffassung vorwiegend auf die Entstehungsgeschichte der Norm. Das Bundesgericht hat wiederholt erkannt, dass das Gesetz in erster Linie aus sich selbst, d.h. nach seinem Wortlaut, Sinn und Zweck sowie nach den ihm zugrunde liegenden Wertungen auszulegen ist ( BGE 100 II 57 ; BGE 98 Ia 593 ). Die Vorarbeiten sind weder verbindlich noch für die Auslegung unmittelbar entscheidend; insbesondere sind Äusserungen von Stellen oder Personen, die bei der Vorbereitung mitwirkten, nicht massgebend, wenn sie im Gesetzestext nicht zum Ausdruck kommen ( BGE 98 Ib 380 ). Das gilt selbst für Äusserungen, die unwidersprochen geblieben sind (BGE BGE 98 Ia 184 ). Hingegen können die Gesetzesmaterialien bei unklaren oder unvollständigen Bestimmungen ein Hilfsmittel sein, den Sinn einer Norm zu erkennen und damit falsche Auslegungen zu vermeiden ( BGE 100 II 57 mit Hinweisen), sofern die Materialien eine klare Antwort geben ( BGE 101 Ib 240 ; 92 I 309 ). Sie sind aber umso weniger zu beachten, je weiter die Gesetzesentstehung zeitlich zurückliegt ( BGE 88 I 157 ; BGE 87 III 94 ). Die vom Beschwerdeführer behauptete Einschränkung hat im Gesetzestext selber keinen Ausdruck gefunden. Aus dem Wortlaut und Wortsinn ist gegenteils zu entnehmen, dass die Kantone ohne Einhaltung einer bestimmten Frist befugt sein sollen, von der Regelung des ZGB abzuweichen. Da das BGE 103 Ia 288 S. 291 Gesetz bezüglich des aufgeworfenen Problems weder unklar noch unvollständig ist, bleibt kein Raum für eine Berücksichtigung der Materialien. Die Entstehungsgeschichte der Bestimmung liegt im weiteren bereits über 65 Jahre zurück, so dass sie auch aus diesem Grund kaum mehr beachtlich ist. Aber selbst wenn der Sinn nicht aus der Bestimmung selbst geklärt werden könnte, so dürfte die Entstehungsgeschichte nur dann bei der Auslegung mitberücksichtigt werden, wenn sie über die Absichten des Gesetzgebers zuverlässig Aufschluss zu geben vermöchte ( BGE 98 Ib 380 ). Das ist vorliegend nicht der Fall. Jedenfalls kann ihr nichts zugunsten der Beschwerdeführer entnommen werden, denn von einer zeitlichen Beschränkung des in Art. 472 ZGB enthaltenen Vorbehalts war im Verlaufe der Entstehungsgeschichte nie die Rede. Keiner der Antragsteller oder Berichterstatter vertrat die Ansicht, dass die in Art. 472 umschriebene Befugnis der Kantone, eine vom ZGB abweichende Form des Pflichtteilsschutzes zu wählen, nur im Zeitpunkt der Inkraftsetzung des ZGB und später nicht mehr ausgeübt werden dürfe. Der Umstand, dass in der ursprünglichen Fassung von Art. 472 ZGB ausdrücklich stand, die Kantone könnten eine vom ZGB abweichende Regelung der Pflichtteilsberechtigung "in ihren Einführungsgesetzen" vorsehen, und dass die drei Worte "in ihren Einführungsgesetzen" erst von der Redaktionskommission gestrichen wurden, spricht nicht für die Auffassung der Beschwerdeführer. Wären sie entsprechend den ursprünglichen Beschlüssen beider Räte im Differenzenbereinigungsverfahren stehen geblieben, so würde dies nicht bedeuten, dass ihnen ein zeitlicher Sinn beizumessen sei, d.h. dass die Abweichung von der Regelung des ZGB nur bei der Schaffung, nicht aber durch eine spätere Änderung des Einführungsgesetzes erfolgen dürfe. Im übrigen ist anzunehmen, dass die Redaktionskommission die Wendung nur deshalb gestrichen hat, weil die Verweisung auf die Einführungsgesetze nicht notwendig war und demgemäss auch andernorts im Zusammenhang mit Vorbehalten des Gesetzes zugunsten des kantonalen Rechtes nicht vorkommt (vgl. etwa Art. 349, 361, 466, 553, 609, 664, 688, 695, 709, 740, 795, 796, 843 ZGB und Memorial des Eidgenössischen Justiz- und Polizeidepartementes an die Kantone vom 24. Juli 1908, BBl 1908/IV, S. 505 und 520; ferner M. JAGMETTI, Vorbehaltenes kantonales Privatrecht, in: Schweizerisches Privatrecht I, BGE 103 Ia 288 S. 292 S. 254). Auch die Betonung der allgemeinen Leitlinie der Rechtsvereinheitlichung beim Erlass des ZGB hilft den Beschwerdeführern nicht, denn eben in der Frage des Pflichtteilsanspruchs der Geschwister musste auf die Vereinheitlichung verzichtet werden, und zwar ohne bestimmte zeitliche Begrenzung. Der Zweck von Art. 474 ZGB besteht jedenfalls nicht darin, den Kantonen die Beibehaltung ihres bisherigen Systems zu ermöglichen; vielmehr wurden ihnen an Stelle der früher geltenden, von Kanton zu Kanton verschiedenen Regelungen nur deren drei zur Wahl freigestellt, nämlich diejenige gemäss Art. 471 ZGB und die beiden in Art. 472 ZGB vorgesehenen Varianten. Die ratio legis lag allein in referendumspolitischen Rücksichten - man befürchtete, dass das ganze Gesetzeswerk ob dieser Frage scheitern könnte -, so dass ihr für die Auslegung des Textes nichts abzugewinnen ist (vgl. hierzu Votum HUBER im Nationalrat, Sten.Bull. N. 1907 S. 296 ff. und HOFFMANN im Ständerat, Sten.Bull. S 1907 S. 302 ff.; ferner Kommentar TUOR, 2. Auflage, N. 1 zu Art. 472; GUISAN, La réserve des héritiers collatéraux de la deuxième parentèle, in: ZSR 49/1930 S. 315; ÄBLI, der Pflichtteil der Geschwister und ihrer Nachkommen im schweizerischen Recht, Diss. Zürich 1940 S. 13/14). Wenn in der Beschwerde weiter auf die grosse Durchmischung der Bevölkerung der Kantone hingewiesen wird, die es als stossend erscheinen lasse, heute eine neue kantonale Norm zu schaffen, die nur für einen kleinen Teil der Kantonseinwohner gelte, so ist dem entgegenzuhalten, dass dieses Problem schon bei der Schaffung von Art. 472 ZGB bestand und erkannt worden war, wie sich eindeutig aus dem Referat EUGEN HUBERS vom 13. Dezember 1905 im Nationalrat ergibt (Sten.Bull. 1905 S. 1356). Da sich das Parlament schliesslich in Kenntnis der Nachteile doch für eine differenzierende Lösung entschlossen hat, dürfen heute diese nämlichen Gründe nicht ins Feld geführt werden, um einen Kanton daran zu hindern, in Ausübung seiner gesetzlichen Befugnis vom subsidiären Recht des ZGB abzuweichen. Bei dieser Sachlage muss es beim klaren Wortsinn dieser Bestimmung sein Bewenden haben.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