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137 vom 13. Juli 1977</w:t>
      </w:r>
    </w:p>
    <w:p>
      <w:r>
        <w:t>Bundesgericht (BGE), 1977-07-13, DE</w:t>
      </w:r>
    </w:p>
    <w:p>
      <w:r>
        <w:rPr>
          <w:b/>
        </w:rPr>
        <w:t xml:space="preserve">Quelle: </w:t>
      </w:r>
      <w:r>
        <w:t>https://mcp.opencaselaw.ch/entscheid/bge_BGE_103_Ia_137</w:t>
      </w:r>
    </w:p>
    <w:p>
      <w:r>
        <w:t>FR: BGE BGE 103 Ia 137 du 13 juillet 1977</w:t>
      </w:r>
    </w:p>
    <w:p>
      <w:r>
        <w:t>IT: BGE BGE 103 Ia 137 del 13 luglio 1977</w:t>
      </w:r>
    </w:p>
    <w:p>
      <w:pPr>
        <w:pStyle w:val="Heading2"/>
      </w:pPr>
      <w:r>
        <w:t>Regeste</w:t>
      </w:r>
    </w:p>
    <w:p>
      <w:r>
        <w:t>Regeste Art. 4 BV; rechtliches Gehör im Strafprozess. In welchen Fällen muss dem Angeschuldigten nach der Aufhebung eines kantonalen Strafurteils durch das Bundesgericht vor der Neubeurteilung Gelegenheit zur Äusserung gegeben werden?</w:t>
      </w:r>
    </w:p>
    <w:p>
      <w:r>
        <w:t>Regeste Art. 4 Cst.; droit d'être entendu dans le procès pénal. Dans quels cas doit-on donner à l'inculpé l'occasion de s'exprimer lorsqu'il est jugé à nouveau après annulation par le Tribunal fédéral d'un jugement pénal cantonal?</w:t>
      </w:r>
    </w:p>
    <w:p>
      <w:r>
        <w:t>Regesto Art. 4 Cost.; diritto d'essere sentito nel processo penale. In quali casi deve darsi all'imputato l'occasione di esprimersi prima che sia giudicato nuovamente in seguito all'annullamento da parte del Tribunale federale di una sentenza penale cantonale?</w:t>
      </w:r>
    </w:p>
    <w:p>
      <w:pPr>
        <w:pStyle w:val="Heading2"/>
      </w:pPr>
      <w:r>
        <w:t>Erwägungen</w:t>
      </w:r>
    </w:p>
    <w:p>
      <w:r>
        <w:rPr>
          <w:b/>
        </w:rPr>
        <w:t>E. 2</w:t>
      </w:r>
    </w:p>
    <w:p>
      <w:r>
        <w:t>a) Der Umfang des Anspruchs auf rechtliches Gehör wird zunächst durch die kantonalen Verfahrensvorschriften umschrieben. Wo sich dieser kantonale Rechtsschutz als ungenügend erweist, greifen die unmittelbar aus Art. 4 BV folgenden, also bundesrechtlichen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 BGE 101 Ia 170 ; BGE 98 Ia 6 , 131; BGE 96 I 620 ). b) Die Beschwerdeführer stützen sich zunächst auf kantonales Recht. Sie machen geltend, gemäss § 240 Abs. 1 in Verbindung mit § 168 StPO dürfe ein Appellationsurteil nur auf Grund einer öffentlichen Verhandlung gefällt werden. Dem halten das Obergericht und die Staatsanwaltschaft im wesentlichen entgegen, das Bundesgericht habe nicht Verfahrensmängel gerügt, sondern lediglich bestimmte Tatbestände als nicht erfüllt betrachtet. Demnach behalte die bereits durchgeführte Berufungsverhandlung ihre Gültigkeit; zu wiederholen sei nur die Urteilsberatung gewesen, die nach gesetzlicher Vorschrift ( § 181 Abs. 1 StPO ) geheim sei. Es trifft zu, dass nach den angeführten Bestimmungen der Strafprozessordnung des Kantons Luzern die Verhandlungen in Strafprozessen vor Obergericht ebenso wie vor der ersten Instanz öffentlich sind. Es ist aber unbestritten, dass vor Ausfällung des durch das Bundesgericht aufgehobenen Urteils eine öffentliche Hauptverhandlung durchgeführt wurde, so dass § 168 StPO nicht verletzt ist. Aus dieser Bestimmung ist, entgegen der Auffassung der Beschwerdeführer, nicht abzuleiten, dass ein Urteil nur unmittelbar im Anschluss an eine öffentliche Verhandlung gefällt werden darf. Das Gesetz enthält keine entsprechende Vorschrift, und es lässt insbesondere auch die Frage offen, ob nach der Aufhebung eines Strafurteils durch das Bundesgericht vor der Ausfällung eines neuen Urteils die Hauptverhandlung wiederholt werden muss. Eine Verletzung des luzernischen Strafprozessrechtes liegt deshalb nicht vor. c) Weiter ist zu prüfen, ob den Beschwerdeführern kraft Bundesrechts ein Anspruch auf eine neue Verhandlung vor BGE 103 Ia 137 S. 139 Obergericht zugestanden habe. Es liegt nahe, eine diesbezügliche Bestimmung im Bundesgesetz über die Bundesstrafrechtspflege (BStP) zu suchen, das besondere Bestimmungen enthält für Bundesstrafsachen, die von kantonalen Behörden zu beurteilen sind. Indessen sagt Art. 277ter BStP lediglich, wenn der Kassationshof des Bundesgerichtes die Beschwerde im Strafpunkt für begründet halte, so hebe er den angefochtenen Entscheid auf und weise die Sache zu neuer Entscheidung an die kantonale Behörde zurück, die ihrer Entscheidung die rechtliche Begründung der Kassation zugrunde zu legen habe. Darüber, wie das kantonale Verfahren nach der Rückweisung auszugestalten sei, enthält das Bundesstrafprozessrecht keine Vorschrift. d) Schliesslich stellt sich die Frage, ob die unmittelbar aus Art. 4 BV abgeleiteten Verfahrensregeln verletzt worden sind. Diese verfolgen im Strafprozess vor allem den Zweck, die Wahrheitsfindung und die Verwirklichung des materiellen Strafrechts in einer Weise herbeizuführen, die den Angeschuldigten gegen die Gefahr staatlichen Machtmissbrauchs und gegen die Beeinträchtigung seiner Verteidigungsrechte schützt ( BGE 101 Ia 170 E. 1 mit Hinweisen). Zu den fundamentalen, durch Art. 4 BV gewährleisteten Verteidigungsrechten gehört insbesondere das Recht des Angeschuldigten, sich zu allen wesentlichen Anklagepunkten zu äussern, namentlich auch zur Strafzumessung ( BGE 101 Ia 296 E. 1d; BGE 97 I 617 mit Hinweisen). Der Zweck des Anspruchs auf rechtliches Gehör legt nahe, je nach dem Inhalt des Rückweisungsentscheides des Bundesgerichts verschiedene Lösungen zuzulassen. So erscheint eine neue Verhandlung vor der kantonalen Instanz von Bundesrechts wegen nicht als erforderlich, wenn die Erwägungen des Rückweisungsentscheides eindeutige, verbindliche Weisungen enthalten, die der kantonalen Instanz im Strafpunkt keinen Ermessensspielraum mehr lassen, wie z.B. bei Rückweisung zur Freisprechung des Angeschuldigten oder zur Verweigerung des bedingten Strafvollzuges. Einen Grenzfall stellt die Rückweisung zur Gewährung des bedingten Strafvollzuges dar. Es lässt sich die Auffassung vertreten, dass jedenfalls dann eine Verhandlung anzusetzen sei, wenn das kantonale Gericht eine längere als die gesetzliche Mindestprobezeit anzusetzen beabsichtigt, doch braucht diese Frage hier nicht entschieden BGE 103 Ia 137 S. 140 zu werden. Beurteilt jedoch der Kassationshof die Sache im Schuldpunkt anders als die kantonale Instanz, so liegt eine neue Sachlage vor, die es erforderlich macht, dem Angeschuldigten Gelegenheit zu geben, sich nochmals zur Strafzumessung, zur Frage des bedingten Vollzuges und zu allfällig in Betracht fallenden Massnahmen zu äussern. So hat das Bundesgericht in BGE 101 Ia 170 ein Urteil des Obergerichts des Kantons Luzern aufgehoben, weil dieses den Angeschuldigten, nachdem es ihn in einem ersten Entscheid freigesprochen hatte, in Befolgung einer vom Kassationshof des Bundesgerichts erteilten Weisung der Übertretung von Strassenverkehrsvorschriften schuldig befunden hatte, ohne ihm vorher Gelegenheit zu geben, sich zum Schuldpunkt zu äussern. In erhöhtem Masse gilt dies, wenn nicht nur der Schuldpunkt neu zu beurteilen ist, sondern - wie auch im zu beurteilenden Fall - ebenso die Strafzumessung auf Grund bloss genereller Richtlinien des Bundesgerichts neu zu erfolgen hat, also wiederum ein Ermessensentscheid zu treffen ist. Dem Standpunkt des Obergerichtes und der Staatsanwaltschaft, wonach die Gelegenheit zu einer Stellungnahme schon vor dem ersten kantonalen Urteil bestanden habe, kann deshalb nicht beigepflichtet werden, weil sich die persönlichen Verhältnisse des Angeschuldigten in der Zwischenzeit in einer für die Strafzumessung erheblichen Weise verändert haben können. So ist es möglich, dass der Angeklagte erkrankt ist, dass er - was bei Geldbussen in Betracht fällt - erhebliche finanzielle Verluste erlitten hat oder dass er tätige Reue bekundet, insbesondere bei Vermögensdelikten den gestifteten Schaden ganz oder teilweise wieder gutgemacht hat. Die Beispiele liessen sich vermehren. Wird das neue Urteil ohne Anhörung des Angeschuldigten gefällt, so entgeht ihm die Möglichkeit, Strafmilderungs- oder Herabsetzungsgründe dieser Art dem Richter vorzutragen. Das Urteil ergeht somit nicht in voller Kenntnis der zur Zeit seiner Fällung massgebenden Tatsachen, was dem Sinn des Strafrechts widerspricht. Ob im vorliegenden Falle neue Tatsachen der erwähnten Art hätten vorgebracht werden können, ist angesichts der formellen Natur des Anspruchs auf rechtliches Gehör nicht zu untersuchen ( BGE 101 Ia 303 ; BGE 100 Ia 10 mit Hinweisen). Die Staatsanwaltschaft und das Obergericht berufen sich zur Stützung ihrer Gegenmeinung auf ein nicht veröffentlichtes BGE 103 Ia 137 S. 141 Urteil des Bundesgerichts i.S. A. vom 28. Juni 1974. Dort war der Angeschuldigte in einem ersten Urteil des Obergerichts des Kantons Luzern zu einer Freiheitsstrafe und zu den Verfahrenskosten verurteilt worden. Zugleich verfügte das Obergericht die Einziehung mehrerer unechter Gemälde. Der Angeklagte erhob staatsrechtliche Beschwerde gegen die Verurteilung und die Kosten, nicht aber gegen die Einziehung der Gemälde. Nach der teilweisen Gutheissung der Beschwerde durch das Bundesgericht wegen willkürlicher Beweiswürdigung wurde der Angeschuldigte im zweiten kantonalen Verfahren zwar freigesprochen, jedoch wurde die Einziehung der unechten Gemälde bestätigt und dem Angeschuldigten ein Teil der Verfahrenskosten auferlegt. Das Obergericht musste damals nicht notwendigerweise eine zweite Hauptverhandlung durchführen, wie das Bundesgericht auf staatsrechtliche Beschwerde hin entschied. Soweit der Angeschuldigte freigesprochen wurde, war er nicht mehr beschwert, weshalb ein Anspruch auf rechtliches Gehör in diesem Punkt ohnehin nicht bestand. Was die Einziehungsverfügung der Bilder betrifft, handelte es sich im wesentlichen um die Bestätigung des ersten, vom Angeschuldigten in diesem Punkt nicht angefochtenen und deshalb vom Bundesgericht nicht aufgehobenen Urteils, weshalb das Obergericht auf Grund des Kassationsentscheides keine Veranlassung hatte, den Angeschuldigten diesbezüglich nochmals anzuhören. Und was schliesslich die Kostenfrage betrifft, zu der sich der Angeschuldigte schon im ersten kantonalen Verfahren äussern konnte, genügt diese allein nicht, um eine neue, wiederum Kosten verursachende Verhandlung zu rechtfertigen. Aus diesem Entscheid lässt sich deshalb für den hier zu beurteilenden Sachverhalt nichts ableiten. Es ist somit festzustellen, dass das Obergericht durch sein Vorgehen im vorliegenden Falle den unmittelbar aus Art. 4 BV fliessenden Anspruch der Beschwerdeführer auf rechtliches Gehör verletzt hat, was die Aufhebung des angefochtenen Urteils zur Folge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