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80</w:t>
      </w:r>
    </w:p>
    <w:p>
      <w:r>
        <w:t>Bundesgericht (BGE), 1977-01-01, DE</w:t>
      </w:r>
    </w:p>
    <w:p>
      <w:r>
        <w:rPr>
          <w:b/>
        </w:rPr>
        <w:t xml:space="preserve">Quelle: </w:t>
      </w:r>
      <w:r>
        <w:t>https://mcp.opencaselaw.ch/entscheid/bge_BGE_103_IV_80</w:t>
      </w:r>
    </w:p>
    <w:p>
      <w:r>
        <w:t>FR: ATF 103 IV 80</w:t>
      </w:r>
    </w:p>
    <w:p>
      <w:r>
        <w:t>IT: DTF 103 IV 80</w:t>
      </w:r>
    </w:p>
    <w:p>
      <w:pPr>
        <w:pStyle w:val="Heading2"/>
      </w:pPr>
      <w:r>
        <w:t>Regeste</w:t>
      </w:r>
    </w:p>
    <w:p>
      <w:r>
        <w:t>Regeste Art. 19 Ziff. 4 BetmG, Art. 100bis Ziff. 1 StGB. 1. Sind die Voraussetzungen des Art. 19 Ziff. 4 BetmG gegeben, so ist nicht mehr zu prüfen, ob das Recht des ausländischen Begehungsortes milder wäre (E. 1). 2. Die Einweisung in eine Arbeitserziehungsanstalt darf abgelehnt werden, wenn nach den Umständen, insbesondere bei völliger Einsichtslosigkeit in die Schwere der begangenen Verbrechen, ernsthaft daran zu zweifeln ist, dass der Täter durch eine Nacherziehung gebessert werden könnte (E. 2).</w:t>
      </w:r>
    </w:p>
    <w:p>
      <w:r>
        <w:t>Regeste Art. 19 ch. 4 LStup, art. 100bis ch. 1 CP. 1. Lorsque l'hypothèse de l'art. 19 ch. 4 LStup est réalisée, il n'est pas besoin d'examiner encore si le droit du pays où l'infraction a été commise est plus favorable (consid. 1). 2. Il faut renoncer au placement dans une maison d'éducation au travail lorsque les circonstances, et notamment l'absence complète de conscience de la gravité du crime commis, font sérieusement douter que l'auteur pourra être amendé par un complément d'éducation (consid. 2).</w:t>
      </w:r>
    </w:p>
    <w:p>
      <w:r>
        <w:t>Regesto Art. 19 n. 4 LS, art. 100bis n. 1 CP. 1. Quando le condizioni poste dall'art. 19 n. 4 LS sono adempiute, non occorre esaminare se la legislazione del Paese ove è stato commesso il reato sia più favorevole (consid. 1). 2. Devesi rinunciare al collocamento in una casa d'educazione al lavoro quando le circostanze, ed in particolare la totale inconsapevolezza della gravità del crimine commesso, permettano di dubitare che la misura rieducativa possa concretamente rimettere l'autore sulla buona strada (consid. 2).</w:t>
      </w:r>
    </w:p>
    <w:p>
      <w:pPr>
        <w:pStyle w:val="Heading2"/>
      </w:pPr>
      <w:r>
        <w:t>Erwägungen</w:t>
      </w:r>
    </w:p>
    <w:p>
      <w:r>
        <w:rPr>
          <w:b/>
        </w:rPr>
        <w:t>E. 1</w:t>
      </w:r>
    </w:p>
    <w:p>
      <w:r>
        <w:t>Entgegen der Auffassung des Beschwerdeführers hat das Obergericht zu Recht schweizerisches, nicht niederländisches Strafrecht angewendet. Dazu war es nach dem klaren Wortlaut des Art. 19 Ziff. 4 BetmG berechtigt, der bestimmt, dass die schweizerischen Strafbestimmungen des BetmG auch dann Anwendung finden, wenn der Täter die Tat im Ausland begangen hat, in der Schweiz angehalten und nicht ausgeliefert wird und wenn die Tat auch am Begehungsort strafbar ist. Damit wird im Interesse einer umfassenden Bekämpfung des illegalen Betäubungsmittelhandels das Universalitätsprinzip anerkannt, das im Einheits-Übereinkommen von 1961 über die Betäubungsmittel (AS 1970, 802 ff., insbes. Art. 36 Ziff. 2, S. 827) vorgesehen ist. Darnach sind die Staaten, die wie die Niederlande und die Schweiz dem Abkommen beigetreten sind, befugt, Delikte dieser Art, unabhängig davon, wo sie begangen werden, nach ihrem Recht zu bestrafen. Es muss daher nicht geprüft werden, ob das Recht des ausländischen Begehungsortes milder wäre; es genügt, dass die Tat auch am Begehungsort strafbar ist.</w:t>
      </w:r>
    </w:p>
    <w:p>
      <w:r>
        <w:rPr>
          <w:b/>
        </w:rPr>
        <w:t>E. 2</w:t>
      </w:r>
    </w:p>
    <w:p>
      <w:r>
        <w:t>Die Vorinstanz lehnte die Einweisung des Beschwerdeführers in eine Arbeitserziehungsanstalt ab mit der Begründung, die intensive deliktische Tätigkeit und die Einsichtslosigkeit des Beschwerdeführers ständen der Annahme entgegen, dass die Gefahr künftiger Verbrechen oder Vergehen durch diese Massnahme verhütet werden könne. Der Beschwerdeführer sieht darin eine Verletzung von Art. 100bis StGB und macht geltend, er sei in seiner charakterlichen Entwicklung erheblich gestört. Der Beschwerdeführer wuchs zwar in ärmlichen und unerfreulichen Familienverhältnissen auf, ist aber frühzeitig selbständig geworden und war nach seinen eigenen Angaben nie ein Müssiggänger, sondern hat sich in verschiedenen Berufen betätigt, bevor er mit 18 Jahren aus wirtschaftlichen und familiären Gründen Italien verliess. Es ist nicht festgestellt und ergibt sich auch nicht aus den Akten, dass er damals in seiner Charakterentwicklung in erheblichem Masse BGE 103 IV 80 S. 82 gestört gewesen wäre. Nebst einer gewissen Charakterschwäche waren es denn auch vor allem äussere Umstände und das Streben, rasch zu einem hohen Einkommen zu gelangen, die ihn verleiteten, sich in Amsterdam einer Rauschgiftbande anzuschliessen und grosse Mengen von Heroin an Feinverteiler und Drogenkonsumenten zu verkaufen. Es steht auch fest, dass er den Drogenhandel ausschliesslich aus kaufmännischen Überlegungen, also aus gewinnsüchtigen Motiven betrieben hat. Angesichts der grossen Umsätze von Heroin hat er nicht nur eine beachtliche Geschäftstüchtigkeit entwickelt, sondern sich auch als ausgeprägt skrupellos erwiesen, war ihm doch bewusst, dass er die Gesundheit vieler Menschen in Gefahr brachte. Abgesehen davon, dass der hemmungslose Heroinhandel des Beschwerdeführers für sich allein noch nicht auf eine erhebliche Störung seiner Charakterentwicklung schliessen lässt, kommt dazu, dass er ungeachtet der gegen ihn sprechenden Indizien und Zeugenaussagen von Beteiligten die Straftaten bis zuletzt, auch noch im Gerichtsverfahren, hartnäckig geleugnet und alles, was nicht restlos beweisbar war, beharrlich bestritten hat. Es fehlt ihm offensichtlich jede Reue und Einsicht in das Unrecht seiner Verbrechen. Diese völlige Einsichtslosigkeit begründet in der Tat ernsthafte Zweifel daran, dass der Beschwerdeführer durch eine verhältnismässig kurze Nacherziehung in einer Arbeitserziehungsanstalt gebessert und von der Wiederaufnahme des Drogenhandels abgehalten werden könnte, zumal damit gerechnet werden muss, dass auch die getrübte Jugendzeit einen ungünstigen Einfluss auf die Besserungsfähigkeit haben wird. Die Vorinstanz hat unter diesen Umständen das ihr nach Art. 100bis Ziff. 1 StGB zustehende Ermessen nicht überschritten und Bundesrecht nicht verletzt, wenn sie die Einweisung in eine Arbeitserziehungsanstalt ablehnte.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