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76</w:t>
      </w:r>
    </w:p>
    <w:p>
      <w:r>
        <w:t>Bundesgericht (BGE), 1977-01-01, DE</w:t>
      </w:r>
    </w:p>
    <w:p>
      <w:r>
        <w:rPr>
          <w:b/>
        </w:rPr>
        <w:t xml:space="preserve">Quelle: </w:t>
      </w:r>
      <w:r>
        <w:t>https://mcp.opencaselaw.ch/entscheid/bge_BGE_103_IV_76</w:t>
      </w:r>
    </w:p>
    <w:p>
      <w:r>
        <w:t>FR: ATF 103 IV 76</w:t>
      </w:r>
    </w:p>
    <w:p>
      <w:r>
        <w:t>IT: DTF 103 IV 76</w:t>
      </w:r>
    </w:p>
    <w:p>
      <w:pPr>
        <w:pStyle w:val="Heading2"/>
      </w:pPr>
      <w:r>
        <w:t>Regeste</w:t>
      </w:r>
    </w:p>
    <w:p>
      <w:r>
        <w:t>Regeste Art. 58 StGB. 1. Erklärt kantonales Recht in seinem Bereich allgemeine Bestimmungen des eidg. StGB als anwendbar, so gelten diese nicht als eidgenössisches, sondern als kantonales Recht, dessen Verletzung mit der eidg. Nichtigkeitsbeschwerde nicht gerügt werden kann (Erw. 1). 2. Die Einziehung gefährlicher Gegenstände erfordert einen unmittelbaren Zusammenhang mit einer konkreten Straftat; eine bloss allgemeine Bestimmung oder Eignung von solchen Gegenständen zu allfälliger deliktischer Verwendung rechtfertigt eine Einziehung noch nicht (Erw. 2).</w:t>
      </w:r>
    </w:p>
    <w:p>
      <w:r>
        <w:t>Regeste Art. 58 CP. 1. Lorsque le droit cantonal, dans son domaine réservé, renvoie aux dispositions générales du CP, celles-ci ne doivent pas être considérées comme du droit fédéral, mais comme du droit cantonal. Elles ne sauraient partant donner matière à un pourvoi en nullité (consid. 1). 2. La confiscation d'objets dangereux n'est possible que s'ils présentent une relation étroite avec une infraction concrète. Le seul fait que de tels objets soient propres ou destinés d'une manière générale à être utilisés d'une façon qui peut être délictueuse ne suffit pas à justifier une telle mesure (consid. 2).</w:t>
      </w:r>
    </w:p>
    <w:p>
      <w:r>
        <w:t>Regesto Art. 58 CP. 1. Ove in una materia ad esso soggetta il diritto cantonale dichiari applicabili le disposizioni generali del Codice penale, queste non vanno considerate come disposizioni del diritto federale, bensì come disposizioni del diritto cantonale e la loro violazione non può essere fatta valere con il ricorso per cassazione federale (consid. 1). 2. La confisca di oggetti pericolosi presuppone una loro stretta relazione con un reato concreto. Il solo fatto che tali oggetti siano destinati o idonei in modo generale a essere utilizzati in modo eventualmente delittuoso non basta a giustificare la loro confisca (consid. 2).</w:t>
      </w:r>
    </w:p>
    <w:p>
      <w:pPr>
        <w:pStyle w:val="Heading2"/>
      </w:pPr>
      <w:r>
        <w:t>Erwägungen</w:t>
      </w:r>
    </w:p>
    <w:p>
      <w:r>
        <w:rPr>
          <w:b/>
        </w:rPr>
        <w:t>E. 1</w:t>
      </w:r>
    </w:p>
    <w:p>
      <w:r>
        <w:t>Die Vorinstanz verfügte die angefochtene Einziehung der Feuerwaffen, weil der Beschwerdeführer damit Straftaten begangen habe. Ohne den erforderlichen Waffenschein zu besitzen, habe er in den Monaten Juni und Juli 1975 in Dübendorf und Umgebung auf Spaziergängen eine geladene Pistole mit sich getragen und dadurch gegen § 6 und 17 der BGE 103 IV 76 S. 78 kantonalen Verordnung über den Handel mit Waffen und Munition, das Waffentragen und den Waffenbesitz vom 28. September 1942 verstossen. Diese Verordnung sieht in § 15 Abs. 3 vor, für die Einziehung von Waffen und Munition gelte Art. 58 StGB . Gemäss § 2 Abs. 1 des Gesetzes über das kantonale Strafrecht und den Vollzug von Strafen und Massnahmen vom 30. Juni 1974 finden zudem die allgemeinen Bestimmungen des StGB auf das kantonale Strafrecht Anwendung. Die Einziehung der beiden fraglichen Waffen erfolgte aufgrund einer nach kantonalem Recht strafbaren Handlung, und, selbst wenn das in den Erwägungen des angefochtenen Beschlusses beziehungsweise des Urteils nicht ausdrücklich gesagt wird, infolge der die Anwendbarkeit von Art. 58 StGB auf das kantonale Strafrecht ausdehnenden Bestimmung der Waffenverordnung bzw. des Straf- und Vollzugsgesetzes. Art. 58 Abs. 1 StGB wurde daher von der Vorinstanz nicht als eidgenössisches, sondern als kantonales Recht angewendet ( BGE 96 I 28 E. 4 a.). Auf die Nichtigkeitsbeschwerde, mit der nur die Verletzung eidgenössischen Rechtes gerügt werden kann ( Art. 269 Abs. 1 BStP ), ist deshalb insoweit nicht einzutreten. An diesem Ergebnis vermag der Hinweis der Vorinstanz, es habe im weiteren auch zwischen der vom Beschwerdeführer verübten Drohung gemäss Art. 180 StGB und sämtlichen ihm zur Verfügung stehenden Waffen ein Zusammenhang bestanden, nichts zu ändern; denn diesem Hinweis kommt nach den Erwägungen im angefochtenen Urteil hinsichtlich der beiden Faustfeuerwaffen eindeutig nur der Sinn eines Eventualstandpunktes zu.</w:t>
      </w:r>
    </w:p>
    <w:p>
      <w:r>
        <w:rPr>
          <w:b/>
        </w:rPr>
        <w:t>E. 2</w:t>
      </w:r>
    </w:p>
    <w:p>
      <w:r>
        <w:t>Nachdem der Beschwerdeführer mit dem Flobertgewehr den Hund der Frau W. erschossen hatte, drohte er M., das nächste Mal "sei er dran". Daraus schliesst die Vorinstanz, die strafbare Drohung sei in weiterem Zusammenhang mit den verschiedenen Schusswaffen des Beschwerdeführers begangen worden, was auch die Einziehung der Doppelflinte und des Jagdgewehrs rechtfertige. Diese Begründung ist vor Art. 58 Abs. 1 StGB nicht haltbar. Die Einziehung von Gegenständen setzt nach dieser Bestimmung in erster Linie voraus, dass mit ihnen eine strafbare Handlung begangen wurde oder sie zur Begehung einer solchen bestimmt waren. Erst deren Gebrauch bei Ausführung oder ihre Bestimmung zur Verübung einer strafbaren Handlung BGE 103 IV 76 S. 79 kann sie überhaupt zu gefährlichen Sachen und damit der Konfiskation zugänglich machen. Da im einen wie im andern Fall ein unmittelbarer Zusammenhang mit einer konkreten Straftat erforderlich ist, genügt die blosse allgemeine Bestimmung oder Eignung von Gegenständen zu eventueller deliktischer Verwendung nicht, um eine Einziehung zu rechtfertigen (vgl. BÖHLER, Die Einziehung im schweizerischen Strafrecht, Diss. ZH 1945, S. 97). Nach den tatsächlichen Feststellungen der Vorinstanz hat der Beschwerdeführer bei Verübung der Drohung keine seiner Schusswaffen verwendet, insbesondere auch nicht das Flobertgewehr, mit welchem er unmittelbar vorher den Hund der Frau W. erschossen hatte, sondern M. lediglich mündlich in Aussicht gestellt, das nächste Mal "werde er dran sein". Die Waffen hätten ihm erst zur Ausführung eines anderen, der Drohung folgenden, sie allenfalls verwirklichenden Deliktes dienen können. Der Beschwerdeführer traf indessen keine Anstalten, seiner Drohung gemäss zu handeln. Weder wurde daher mit der Doppelflinte oder dem Jagdgewehr, die der Beschwerdeführer anlässlich der Bedrohung des M. nicht auf sich trug, mit denen er die ausgestossene Drohung aber an sich hätte wahrmachen können, es jedoch nicht tat, eine strafbare Handlung ausgeführt, noch waren sie unter diesen Umständen zur Begehung einer solchen bestimmt. Selbst die Vorinstanz nimmt nicht an, dass letzteres der Fall gewesen sei. Die durch sie angeordnete Einziehung von Doppelflinte und Jagdgewehr - und damit auch jene der zu diesen Waffen gehörenden Munition - erfolgte mithin in Verletzung von Art. 58 Abs. 1 StGB . Die Vorinstanz unterliess es im übrigen ohnehin anzugeben, mit welcher seiner Schusswaffen der Beschwerdeführer ihrer Ansicht nach die Drohung "in einem weiteren Sinne" begangen habe. Das Obergericht hat demzufolge den Einzugsbeschluss, soweit er angefochten wurde,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