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3</w:t>
      </w:r>
    </w:p>
    <w:p>
      <w:r>
        <w:t>Bundesgericht (BGE), 1977-01-01, FR</w:t>
      </w:r>
    </w:p>
    <w:p>
      <w:r>
        <w:rPr>
          <w:b/>
        </w:rPr>
        <w:t xml:space="preserve">Quelle: </w:t>
      </w:r>
      <w:r>
        <w:t>https://mcp.opencaselaw.ch/entscheid/bge_BGE_103_IV_3</w:t>
      </w:r>
    </w:p>
    <w:p>
      <w:r>
        <w:t>FR: ATF 103 IV 3</w:t>
      </w:r>
    </w:p>
    <w:p>
      <w:r>
        <w:t>IT: DTF 103 IV 3</w:t>
      </w:r>
    </w:p>
    <w:p>
      <w:pPr>
        <w:pStyle w:val="Heading2"/>
      </w:pPr>
      <w:r>
        <w:t>Regeste</w:t>
      </w:r>
    </w:p>
    <w:p>
      <w:r>
        <w:t>Regeste Art. 59 StGB. Verfall an den Staat. Diese Bestimmung will verhindern, dass der Täter den Verbrecherlohn behalten kann. Die Beweggründe und Absichten des Leistenden sind nicht entscheidend; es genügt, dass die Zuwendung objektiv dazu diente, eine objektiv strafbare Handlung zu belohnen.</w:t>
      </w:r>
    </w:p>
    <w:p>
      <w:r>
        <w:t>Regeste Art. 59 CP. Dévolution à l'Etat. Cette disposition a pour but d'empêcher que le délinquant ne conserve l'avantage qu'il s'est acquis par son forfait. Les mobiles, buts et desseins du "gratifiant" importent dès lors peu; il suffit qu'objectivement la prestation ait servi à rémunérer un acte objectivement punissable.</w:t>
      </w:r>
    </w:p>
    <w:p>
      <w:r>
        <w:t>Regesto Art. 59 CP. Devoluzione allo Stato. Tale disposizione ha per scopo d'impedire che l'autore di un reato conservi il profitto acquistato per mezzo di quest'ultimo. I moventi, i fini e le intenzioni di chi ha procurato il profitto non sono determinanti; è sufficiente che la prestazione sia servita obiettivamente a ricompensare un atto obiettivamente punibile.</w:t>
      </w:r>
    </w:p>
    <w:p>
      <w:pPr>
        <w:pStyle w:val="Heading2"/>
      </w:pPr>
      <w:r>
        <w:t>Erwägungen</w:t>
      </w:r>
    </w:p>
    <w:p>
      <w:r>
        <w:rPr>
          <w:b/>
        </w:rPr>
        <w:t>E. 1</w:t>
      </w:r>
    </w:p>
    <w:p>
      <w:r>
        <w:t>a) La Cour cantonale a confirmé que les honoraires perçus par les recourants pour les avortements illicites auxquels ils ont procédé tombaient sous le coup de l' art. 59 CP et devaient être dévolus à l'Etat. Elle a considéré qu'il importait peu que les femmes qui ont sollicité les interruptions de grossesse aient eu conscience de l'illicéité de l'acte accompli par les médecins. b) Les recourants critiquent cette manière de voir. Ils font valoir que la mesure de dévolution à l'Etat prévue à l' art. 59 CP a pour condition nécessaire un rapport de causalité entre les "dons et autres avantages" mentionné dans cette disposition et la commission d'une infraction par le bénéficiaire de ces prestations; l'élément d'incitation serait déterminant; dès lors, si les patientes opérées ignoraient le caractère illicite de l'intervention, les honoraires qu'elles payaient n'avaient pour but ni de décider les médecins à commettre une infraction ni de les récompenser de l'avoir fait; en outre, les honoraires étant les mêmes que dans les opérations licites, il n'existerait aucune relation de causalité entre les honoraires payés et la BGE 103 IV 3 S. 6 violation de la loi. Enfin, les recourants K. et R. contestent la constatation selon laquelle l'appât du gain a joué un rôle dans leur détermination. Ils relèvent également que le directeur de la clinique, pourtant condamné lui aussi pour avortement par métier, n'a pas été frappé d'une mesure de dévolution à l'Etat du bénéfice qu'il a réalisé.</w:t>
      </w:r>
    </w:p>
    <w:p>
      <w:r>
        <w:rPr>
          <w:b/>
        </w:rPr>
        <w:t>E. 2</w:t>
      </w:r>
    </w:p>
    <w:p>
      <w:r>
        <w:t>a) L' art. 59 al. 1 CP dispose que "les dons et autres avantages qui ont servi ou qui devaient servir à décider ou à récompenser l'auteur d'une infraction sont acquis à l'Etat, et que si ces objets n'existent plus en nature, celui qui les a reçus devra en payer la valeur". Très tôt déjà, la jurisprudence a considéré que le but de cette disposition était d'empêcher que le délinquant ne conserve l'avantage qu'il s'est acquis par son forfait et qu'une interprétation même extensive de ce texte légal était admissible si elle correspondait au but ainsi visé par le législateur ( ATF 71 IV 148 et ATF 72 IV 102 ). C'est ainsi que le Tribunal fédéral a prononcé que l' art. 59 al. 1 CP devait être appliqué aussi bien dans les cas où l'acceptation d'une prestation est l'un des éléments constitutifs de l'infraction (s'agissant de la corruption, par exemple) que dans ceux (le proxénétisme, notamment) où le seul dessein de retirer un avantage pécuniaire de l'acte suffit à faire tomber ce dernier sous le coup de la loi pénale, cela quand bien même la réception effective de la prestation n'est pas un élément constitutif de l'infraction ( ATF 72 IV 104 consid. 2). La jurisprudence a également posé que l' art. 59 al. 1 CP ne supposait pas que l'infraction ait été commise ni que l'attribution elle-même constitue un acte punissable. Il n'est ainsi pas nécessaire pour appliquer cette disposition que le "gratifiant" ait été l'instigateur, le complice ou le coauteur du bénéficiaire. Celui qui, par une prestation, "décide" à commettre une infraction n'est pas nécessairement instigateur, car décider quelqu'un à commettre un acte ne signifie pas forcément l'y avoir déterminé intentionnellement. De même, celui qui "récompense" l'infraction n'y participe pas nécessairement au sens de la loi. Il est dès lors sans intérêt, du point de vue de la dévolution à l'Etat, que l'infraction soit commise ou non. Le "gratifiant" ne peut pas faire obstacle à la dévolution en faisant valoir qu'une tentative d'instigation de sa part ne serait pas punissable, parce qu'en cas de réussite de son projet, il BGE 103 IV 3 S. 7 n'aurait pas été condamné, par exemple à cause d'une erreur de droit excusable ( ATF 76 IV 19 ). Enfin, le Tribunal fédéral a précisé que la loi ne tenait pas compte des mobiles ou du dessein des "gratifiants", mais de la destination objective de leurs prestations ( ATF 97 IV 252 ). b) Il ressort des principes ainsi dégagés, et auxquels il convient de se tenir pour respecter le but de la loi, que les mobiles, buts et desseins du "gratifiant" ne sont pas déterminants pour l'application de l' art. 59 CP . Il importe peu de ce fait que le "gratifiant" ait consenti sa prestation sous l'empire d'une erreur de fait ou de droit. Ce qui compte, c'est qu'objectivement la prestation ait servi à rémunérer un acte objectivement punissable. Il suffit en outre qu'il y ait un lien entre la gratification et l'infraction, sans que cette gratification soit nécessairement la cause de l'acte délictueux. La récompense d'un acte, notion qui recouvre celle de rémunération ou d'honoraires, ne constitue pas nécessairement la cause de cet acte. Toute interprétation plus restrictive permettrait au délinquant de conserver l'avantage acquis par son forfait, elle serait partant contraire au but visé par le législateur. La doctrine n'hésite d'ailleurs pas à voir dans la rémunération des avorteurs par métier, à l'instar de celle des souteneurs, un exemple typique de prestation tombant sous le coup de l' art. 59 CP (WAIBLINGER, in RJB 1948/84, p. 428; SCHULTZ, Einführung in den allgemeinen Teil des Strafrechts, Berne 1974, 2e éd., II, p. 168). Il faut en effet bien admettre que si la dévolution à l'Etat de ce genre de gains illicites devait dépendre des buts, mobiles ou desseins des "gratifiantes", souvent inconnues ou animées de mobiles très divers, la suppression de l'avantage illicite voulue par le législateur ne pourrait le plus souvent pas intervenir. La solution n'est d'ailleurs pas différente lorsque l'infraction n'a pas été commise par métier, puisqu'il n'est pas nécessaire que la prestation reçue par l'auteur bénéficiaire soit un élément constitutif de l'infraction. c) En l'espèce, il est donc sans incidence que les patientes aient ignoré le caractère illicite des interventions des recourants et que les honoraires qu'elles ont payés n'aient pas eu pour but de décider les médecins à commettre une infraction ni de les récompenser de l'avoir commise. Il suffit de constater que ces honoraires ont constitué la rémunération des actes BGE 103 IV 3 S. 8 accomplis et qu'objectivement ces actes sont des infractions pour que les honoraires tombent sous le coup de l' art. 59 CP et soient dès lors dévolus à l'Etat. La Cour cantonale a donc appliqué correctement l' art. 59 CP .</w:t>
      </w:r>
    </w:p>
    <w:p>
      <w:r>
        <w:rPr>
          <w:b/>
        </w:rPr>
        <w:t>E. 3</w:t>
      </w:r>
    </w:p>
    <w:p>
      <w:r>
        <w:t>Les griefs formulés par les recourants à l'égard de la constatation selon laquelle l'appât du gain a joué un rôle dans leurs agissements sont irrecevables. Il s'agit là d'une constatation de fait qui échappe à l'examen de la cour de céans (art. 273 al. 1 litt. b et 277bis PPF). Quant à la référence au cas d'un autre accusé, elle est dénuée de pertinence et ne peut en aucun cas être invoquée devant la Cour de cassation faute de toute référence à une violation du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