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280</w:t>
      </w:r>
    </w:p>
    <w:p>
      <w:r>
        <w:t>Bundesgericht (BGE), 1977-01-01, DE</w:t>
      </w:r>
    </w:p>
    <w:p>
      <w:r>
        <w:rPr>
          <w:b/>
        </w:rPr>
        <w:t xml:space="preserve">Quelle: </w:t>
      </w:r>
      <w:r>
        <w:t>https://mcp.opencaselaw.ch/entscheid/bge_BGE_103_IV_280</w:t>
      </w:r>
    </w:p>
    <w:p>
      <w:r>
        <w:t>FR: ATF 103 IV 280</w:t>
      </w:r>
    </w:p>
    <w:p>
      <w:r>
        <w:t>IT: DTF 103 IV 280</w:t>
      </w:r>
    </w:p>
    <w:p>
      <w:pPr>
        <w:pStyle w:val="Heading2"/>
      </w:pPr>
      <w:r>
        <w:t>Regeste</w:t>
      </w:r>
    </w:p>
    <w:p>
      <w:r>
        <w:t>Regeste Art. 19 Ziff. 2 lit. a BetmG; schwerer Fall. Umschreibung der Menge Betäubungsmittel, "welche die Gesundheit vieler Menschen in Gefahr bringen kann".</w:t>
      </w:r>
    </w:p>
    <w:p>
      <w:r>
        <w:t>Regeste Art. 19 ch. 2 litt. a LStup; cas grave. Détermination de la quantité de stupéfiant qui "peut mettre en danger la santé de nombreuses personnes".</w:t>
      </w:r>
    </w:p>
    <w:p>
      <w:r>
        <w:t>Regesto Art. 19 n. 2 lett. a LS; caso grave. Nozione di quantità di stupefacente "che può mettere in pericolo la salute di parecchie persone".</w:t>
      </w:r>
    </w:p>
    <w:p>
      <w:pPr>
        <w:pStyle w:val="Heading2"/>
      </w:pPr>
      <w:r>
        <w:t>Erwägungen</w:t>
      </w:r>
    </w:p>
    <w:p>
      <w:r>
        <w:rPr>
          <w:b/>
        </w:rPr>
        <w:t>E. 1</w:t>
      </w:r>
    </w:p>
    <w:p>
      <w:r>
        <w:t>Nach Art. 19 Ziff. 2 lit. a BetmG liegt ein schwerer Fall vor, "wenn der Täter weiss oder annehmen muss, dass sich die Widerhandlung auf eine Menge von Betäubungsmitteln bezieht, welche die Gesundheit vieler Menschen in Gefahr bringen kann". Die Vorinstanz hat diese Voraussetzungen bejaht. Sie stellt in tatsächlicher Hinsicht verbindlich fest ( Art. 277bis Abs. 1 BStP ), dass der Beschwerdeführer ca. 270 Schüsse Heroin von durchschnittlich 45 mg verkaufte und weitere 70 Schüsse zum Verkauf anbot, zusammen ca. 15 g. Mit den in Amsterdam gekauften und teils vom Zoll abgefangenen, teils sonst noch nicht in den Verkauf gelangten Mengen, die alle für den Verkauf angeschafft und transportiert worden waren, ergibt sich ein Quantum von 56 g Heroin. Vom Kassationshof zu prüfen ist einzig, ob diese Menge ausreicht, die Gesundheit vieler Menschen in Gefahr zu bringen. Daran kann nicht der geringste Zweifel bestehen. Wenn das Berner Obergericht generell von einer Menge von 15 g an einen schweren Fall im Sinne von Art. 19 Ziff. 2 lit. a BetmG annimmt, hat es die Grenze bedenklich hoch angesetzt. In anderen Kantonen, z.B. Basel-Stadt, wird sie erheblich tiefer gezogen. 15 g entsprechen ca. 350 Schüssen. Bekanntlich können ca. 10 Injektionen mit Heroin ohne weiteres zu Süchtigkeit führen, mit all ihren bekannten verhängnisvollen Wirkungen für die Gesundheit und die gesamte Existenz einer Person. 15 g reichen aus, um diese Wirkung bei ca. BGE 103 IV 280 S. 282 35 Personen herbeizuführen, ohne dass andere Bezugsquellen verfügbar sind. Zusammen mit solchen können durch den Verkauf von 350 Schüssen auch 100 und mehr Personen in ihrer Gesundheit schwer gefährdet werden. Die Beschaffung von 15 g Heroin zum Verkauf an einen unbestimmten Abnehmerkreis ist also in jedem Fall als schwerer Fall gemäss Bst. a zu betrachten. Der Beschwerdeführer, der 56 g beschaffte, selbst nicht süchtig ist, aber das Schicksal Heroinsüchtiger genau kannte, muss als skrupelloser Dealer bezeichnet werden. Auch wenn er nicht zu den grossen Drahtziehern im Drogenhandel gehört, ist er keineswegs der harmlose "kleine Fisch", als den ihn die Nichtigkeitsbeschwerde ausgeben möchte. Dass es noch schlimmere gibt, hat die Vorinstanz mit der relativ sehr milden Strafe von 22 Monaten Gefängnis ausreichend berücksichtigt.</w:t>
      </w:r>
    </w:p>
    <w:p>
      <w:r>
        <w:rPr>
          <w:b/>
        </w:rPr>
        <w:t>E. 2</w:t>
      </w:r>
    </w:p>
    <w:p>
      <w:r>
        <w:t>Ist der schwere Fall nach lit. a unbedenklich zu bejahen, so erübrigt sich die Prüfung der Rügen, die Vorinstanz habe zu Unrecht auch die Qualifikationsmerkmale der lit. b und c des Art. 19 Ziff. 2 BetmG bejaht. Anders wäre es nur, wenn das Zusammentreffen mehrerer Qualifikationsgründe zu einer strengeren Erfassung des Täters führen dürfte oder faktisch geführt hätte. Der Beschwerdeführer vermutet, die Vorinstanz habe ihn härter bestraft, weil sie alle drei Voraussetzungen eines schweren Falles bejahte. Der Vorwurf, wenn auch nicht positiv formuliert, ist mutwillig. Die Vorinstanz hat ausdrücklich und zutreffend festgehalten, dass die Erfüllung aller Qualifikationsmerkmale nicht zu einer Strafschärfung geführt hat. Im übrigen spricht auch die milde Strafe selbst gegen die These des Beschwerdeführers, besonders angesichts der straferhöhenden Umstände, die von der Vorinstanz richtig aufgeführt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