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202</w:t>
      </w:r>
    </w:p>
    <w:p>
      <w:r>
        <w:t>Bundesgericht (BGE), 1977-01-01, DE</w:t>
      </w:r>
    </w:p>
    <w:p>
      <w:r>
        <w:rPr>
          <w:b/>
        </w:rPr>
        <w:t xml:space="preserve">Quelle: </w:t>
      </w:r>
      <w:r>
        <w:t>https://mcp.opencaselaw.ch/entscheid/bge_BGE_103_IV_202</w:t>
      </w:r>
    </w:p>
    <w:p>
      <w:r>
        <w:t>FR: ATF 103 IV 202</w:t>
      </w:r>
    </w:p>
    <w:p>
      <w:r>
        <w:t>IT: DTF 103 IV 202</w:t>
      </w:r>
    </w:p>
    <w:p>
      <w:pPr>
        <w:pStyle w:val="Heading2"/>
      </w:pPr>
      <w:r>
        <w:t>Regeste</w:t>
      </w:r>
    </w:p>
    <w:p>
      <w:r>
        <w:t>Regeste BG betr. Strafbestimmungen zum Handelsregister- und Firmenrecht, Art. 2 Abs. 2. 1. Die Verwendung ohne Täuschungsabsicht einer Firma, die mit der im Handelsregister eingetragenen nicht übereinstimmt, bleibt straflos, wenn sie nicht geeignet ist, im geschäftlichen Verkehr eine Täuschung über eine erhebliche Tatsache zu bewirken (Erw. 1). 2. Die Verwendung der falschen Firma muss vorsätzlich erfolgen; hinsichtlich ihrer Eignung zu erheblicher Täuschung genügt Fahrlässigkeit (Erw. 2c und d).</w:t>
      </w:r>
    </w:p>
    <w:p>
      <w:r>
        <w:t>Regeste Art. 2 al. 2 LF statuant des dispositions pénales en matière de registre du commerce et de raisons de commerce. 1. L'emploi sans intention d'induire en erreur d'une raison de commerce différente de celle qui est inscrite au registre du commerce n'est pas punissable si elle n'est pas de nature à provoquer des erreurs sur des éléments importants dans les relations commerciales (consid. 1). 2. L'emploi illégal de la raison de commerce doit être intentionnel, mais en ce qui concerne le risque d'induire en erreur, la négligence suffit (consid. 2c et d).</w:t>
      </w:r>
    </w:p>
    <w:p>
      <w:r>
        <w:t>Regesto Art. 2 cpv. 2 LF che stabilisce disposizioni penali in materia di registro di commercio e di ditte. 1. L'uso, senza intenzione di trarre in errore, di una ditta diversa da quella iscritta nel registro di commercio è esente da pena soltanto ove non possa dar luogo ad errore su Elemente importants nelle relazioni commerciali (consid. 1). 2. L'uso della ditta irregolare deve essere intenzionale; per quanto concerne la sua idoneità ad indurre in errore, basta invece la negligenza (consid. 2c e d).</w:t>
      </w:r>
    </w:p>
    <w:p>
      <w:pPr>
        <w:pStyle w:val="Heading2"/>
      </w:pPr>
      <w:r>
        <w:t>Erwägungen</w:t>
      </w:r>
    </w:p>
    <w:p>
      <w:r>
        <w:rPr>
          <w:b/>
        </w:rPr>
        <w:t>E. 1</w:t>
      </w:r>
    </w:p>
    <w:p>
      <w:r>
        <w:t>Die Firma dient u.a. der Individualisierung des Unternehmens. Sie muss wahr sein und darf zu keinen Täuschungen über Identität und Natur des Geschäftes und zu keinen Verwechslungen mit andern Unternehmen führen. Der Firmenträger ist daher verpflichtet, die Firma unverändert so, wie er sie angenommen hat und wie sie im Handelsregister eingetragen worden ist, zu verwenden (sog. Firmengebrauchspflicht). Es würde nichts nützen, dass die Firma im Register in einer Form eingetragen ist, die eine Täuschung ausschliesst, wenn es nachher dem Unternehmen erlaubt wäre, eine Firma zu verwenden, die von der eingetragenen abweicht. Die einmal eingetragene Firma ist etwas Bestimmtes und Individuelles. Sie darf nicht von der eingetragenen Form abweichen und bald so, bald anders geschrieben werden. Insbesondere ist es nicht zulässig, den sogenannten Firmenkern wegzulassen und nur den Firmenzusatz zu verwenden. Unter Gebrauch der Firma ist jede Verwendung, die in unmittelbarer Beziehung zum geschäftlichen Verkehr steht, zu verstehen, so die Verwendung auf Geschäftsschildern und Geschäftspapieren wie Katalogen, Preislisten, Prospekten, Empfehlungskarten, der Gebrauch auf Briefköpfen, bei der Zeichnung der Firma und BGE 103 IV 202 S. 204 in Adressbüchern oder Telefonverzeichnissen (vgl. Botschaft des Bundesrates, BBl 1921 III 261 ff.; FRITZ VON STEIGER, Handelsregister- und Firmenstrafrecht, 1942, SJK 249 S. 1/2; PATRY, Die Geschäftsfirmen, in: Schweizerisches Privatrecht, Bd. VIII 1, S. 154 ff.). Art. 2 des Bundesgesetzes betreffend Strafbestimmungen zum Handelsregister- und Firmenrecht vom 6. Oktober 1923 (SR 221.414; im folgenden "Gesetz" genannt) sanktioniert die Pflicht, die im Handelsregister eingetragene Firma im geschäftlichen Verkehr unverändert zu verwenden. Nach Abs. 1 wird zu Gefängnis bis zu sechs Monaten oder zu Busse bis zu Fr. 20'000.-- oder zu beiden Strafen verurteilt, "wer, um eine Täuschung zu bewirken, für ein im Handelsregister eingetragenes Geschäft eine Firma verwendet, die mit der im Handelsregister eingetragenen nicht übereinstimmt". Abs. 2 lautet: "Wer ohne Täuschungsabsicht für ein solches Geschäft eine Firma verwendet, die mit der im Handelsregister eingetragenen nicht übereinstimmt, wird mit Busse bis zu 10'000 Franken bestraft. Der Täter bleibt straflos, wenn durch Verwendung dieser Firma eine erhebliche Täuschung nicht bewirkt werden kann." Der Entwurf des Bundesrates ging weiter. Selbst wenn eine Täuschung durch die falsche Firma ausgeschlossen gewesen wäre, hätte eine Polizeibusse verhängt werden müssen. Diese in Art. 2 Abs. 3 des Entwurfes enthaltene Vorschrift wurde aber vom Ständerat gestrichen und durch einen zweiten Satz in Absatz 2 ersetzt, der wie folgt lautete: "Der Täter bleibt straflos, wenn durch Verwendung dieser Firma eine Täuschung nicht bewirkt werden kann." Im Nationalrat fand Huber, auch diese Fassung des Ständerates gehe noch zu weit. Irgendeine Täuschung sei stets denkbar. Wer solle den Beweis leisten, dass eine Täuschungsmöglichkeit stets ausgeschlossen sei? Die unbeabsichtigte Täuschung "über ganz unerhebliche Dinge" solle straflos bleiben. Gedacht wurde in beiden Räten vorab an den Fall, dass der in der Firma ausgeschriebene Vorname im geschäftlichen Verkehr abgekürzt werde, ohne dass dadurch über die Identität des Unternehmens Zweifel entstünden. In diesem Sinne wurde dann im definitiven Text gesagt, der Täter bleibe straflos, wenn durch die Verwendung dieser (falschen) Firma eine "erhebliche" Täuschung nicht bewirkt werden könne (Sten.Bull. 1923, N S. 346). Straflos soll BGE 103 IV 202 S. 205 also bleiben, und das ergibt den richtigen Sinn des Gesetzes, die Verwendung der falschen Firma, die nicht geeignet ist, im geschäftlichen Verkehr eine Täuschung über eine erhebliche Tatsache zu bewirken.</w:t>
      </w:r>
    </w:p>
    <w:p>
      <w:r>
        <w:rPr>
          <w:b/>
        </w:rPr>
        <w:t>E. 2</w:t>
      </w:r>
    </w:p>
    <w:p>
      <w:r>
        <w:t>a) Die S. AG hat im Rahmen einer intensiven Werbung verschiedenste Firmen verwendet, welche mit der eingetragenen Firma nicht übereinstimmten. Diese Bezeichnungen waren beim Publikum, an das sich diese Reklame richtete, geeignet, erhebliche Täuschungen in geschäftlichen Belangen, insbesondere über die Identität der Firma, die hinter dieser Werbung stand, zu bewirken. Sie führten denn auch zu Beanstandungen und zu einem Zivilprozess wegen unlauteren Wettbewerbs. b) Das alles steht fest und ist unbestritten. Der Beschwerdeführer will hingegen nicht gewusst haben, dass die Verwendung einer andern als der im Handelsregister eingetragenen Firma im geschäftlichen Verkehr verboten ist. Damit kann er aber nicht gehört werden, stellt doch die Vorinstanz für den Kassationshof verbindlich ( Art. 277bis Abs. 1 BStP ) fest, der Beschwerdeführer habe im Rahmen des Zivilprozesses eindrücklich zur Kenntnis nehmen müssen, dass eine Firma im Rahmen der Werbung keinen andern Namen als den eingetragenen verwenden dürfe. Ein Irrtum hierüber schlösse im übrigen den Vorsatz nicht aus. Er würde sich als Rechtsirrtum im Sinne von Art. 20 StGB qualifizieren, für den der Beschwerdeführer nach den Umständen keine zureichenden Gründe gehabt hätte. c) Was die Eignung der falschen Firma zu erheblicher Täuschung betrifft, muss Fahrlässigkeit genügen. Darüber war man sich schon in der parlamentarischen Beratung klar (Voten Huber und Bundesrat Häberlin, Sten.Bull. 1923 N S. 346 f.). Es besteht also zum vornherein kein Anlass, von der Vermutung des Art. 333 Abs. 3 StGB abzugehen, wonach die in andern Bundesgesetzen als dem Strafgesetzbuch unter Strafe gestellten Übertretungen strafbar sind, auch wenn sie fahrlässig begangen werden, sofern nicht nach dem Sinne der Vorschrift nur die vorsätzliche Begehung mit Strafe bedroht ist. Fraglich ist bloss, ob ein in dieser Richtung gehender einfacher oder Eventualvorsatz noch unter Absatz 2 von Art. 2 des Gesetzes vom 6. Oktober 1923 fallen würde. Da aber der Kassationshof nicht mit einem Antrag auf Anwendung BGE 103 IV 202 S. 206 der strengeren in Absatz 1 enthaltenen Vorschrift befasst ist, kann die Frage offen bleiben. d) Hingegen stellt sich die Frage, ob es zum subjektiven Tatbestand des Art. 2 Abs. 2 des Gesetzes gehört, dass der Täter im Sinne des Vorsatzes von der Verwendung falscher Firmen wusste. Sie ist zu bejahen. Gemäss Art. 333 Abs. 3 (in Verbindung mit Art. 334) StGB ist nicht nur nach dem eindeutigen Wortlaut, sondern auch nach dem Sinne des Gesetzes zu entscheiden. Als das Gesetz geschaffen wurde, war Vorsatz erforderlich (Art. 7 Gesetz in Verbindung mit dem alten Bundesstrafrecht Art. 11; LUDWIG, ZSR n.F. 44/1925 S. 27a Anm. 2), soweit das Gesetz nicht ausdrücklich Fahrlässigkeit genügen lässt. Da sich das Gesetz über das Wissen um die falsche Firmierung nicht ausspricht (es handelt nur von der Täuschungsabsicht), muss daraus geschlossen werden, die falsche Firmierung selber (nicht weitere Folgen wie Täuschung, Schädigung) müsse vorsätzlich erfolgt sein. Dass mit dem Inkrafttreten des StGB daran etwas geändert werden sollte, ist nicht anzunehmen, zumal nun ergänzende eidgenössische Strafbestimmungen in Kraft traten, um schwere Fälle zu treffen (Betrug, unlauterer Wettbewerb, unwahre Angaben über Handelsgesellschaften usw.). Absatz 2 des Art. 2 knüpft an den 1. Absatz an. Dort wird aber Vorsatz hinsichtlich der falschen Firmierung vorausgesetzt. Denn nur wenn der Täter sich dessen bewusst ist, kann er sie als Mittel der Voraussetzung der Täuschung, die ja in Absatz 1 bewusst ist, benützen. Absatz 2 hebt aber nicht diesen Vorsatz betreffend falsche Firmierung auf, sondern nur die weitergehende Täuschungsabsicht. Bezüglich der erstern gilt, wie in Absatz 1, Vorsatz. Im übrigen ist auch zu berücksichtigen, dass eine falsche Firmierung sehr leicht versehentlich erfolgen kann (Nichtausschreiben des in der Firma enthaltenen Vornamens usf.). Eine besondere Überwachungspflicht unter Strafdrohung auch insoweit zu statuieren, geht über das Nötige hinaus. steht Anlass zu Beanstandungen, so wird üblicherweise zuerst reklamiert; dann fehlt in der Regel für die Zukunft der gute Glaube. Ferner besteht die Möglichkeit von Ordnungsstrafen. Die Vorinstanz stellt fest, durch Generalversammlungsbeschluss vom 20. November 1974 habe eine Aufteilung der BGE 103 IV 202 S. 207 Geschäftsführung in dem Sinne stattgefunden, dass die Werbung dem damaligen Verwaltungsratspräsidenten T. übertragen wurde. Sie trifft jedoch keine Feststellungen darüber, ob der Beschwerdeführer wusste, dass auch nach diesem Delegationsbeschluss falsche (mit dem Handelsregister nicht übereinstimmende) Firmen verwendet wurden. Sie hat sich deshalb darüber auszusprechen und entsprechend neu zu urteilen. In diesem Sinne ist die Sache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