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107</w:t>
      </w:r>
    </w:p>
    <w:p>
      <w:r>
        <w:t>Bundesgericht (BGE), 1977-01-01, DE</w:t>
      </w:r>
    </w:p>
    <w:p>
      <w:r>
        <w:rPr>
          <w:b/>
        </w:rPr>
        <w:t xml:space="preserve">Quelle: </w:t>
      </w:r>
      <w:r>
        <w:t>https://mcp.opencaselaw.ch/entscheid/bge_BGE_103_IV_107</w:t>
      </w:r>
    </w:p>
    <w:p>
      <w:r>
        <w:t>FR: ATF 103 IV 107</w:t>
      </w:r>
    </w:p>
    <w:p>
      <w:r>
        <w:t>IT: DTF 103 IV 107</w:t>
      </w:r>
    </w:p>
    <w:p>
      <w:pPr>
        <w:pStyle w:val="Heading2"/>
      </w:pPr>
      <w:r>
        <w:t>Regeste</w:t>
      </w:r>
    </w:p>
    <w:p>
      <w:r>
        <w:t>Regeste Art. 26 Abs. 2 SVG, Art. 47 Abs. 5 VRV. Der Fahrzeugführer, der mit einem ausserhalb eines Fussgängerstreifens die Strasse überquerenden Fussgänger zusammentrifft, hat besondere Vorkehren zur Verhütung eines Unfalls erst zu treffen, wenn für ihn erkennbar ist, dass sein Vortrittsrecht missachtet wird. Ein solches Anzeichen liegt nicht schon darin, dass ein Fussgänger von links her die Strasse zu überschreiten beginnt.</w:t>
      </w:r>
    </w:p>
    <w:p>
      <w:r>
        <w:t>Regeste Art. 26 al. 2 LCR, art. 47 al. 5 OCR. L'automobiliste qui se trouve en présence d'un piéton qui traverse la chaussée en dehors des passages protégés, ne doit prendre des mesures particulières pour éviter un accident que s'il doit s'attendre à ce que son droit de priorité ne soit pas respecté. Tel n'est pas le cas du seul fait que le piéton entreprend de traverser la route depuis la gauche.</w:t>
      </w:r>
    </w:p>
    <w:p>
      <w:r>
        <w:t>Regesto Art. 26 cpv. 2 LCS, art. 47 cpv. 5 ONCS. In presenza d'un pedone che attraversa la carreggiata fuori dai passaggi pedonali, l'automobilista deve prendere particolari precauzioni onde evitare un incidente soltanto se può rendersi conto che il suo diritto di precedenza non sarà rispettato. Il fatto che il pedone inizi ad attraversare la strada da sinistra a destra non costituisce però un indizio sufficiente a tal scopo.</w:t>
      </w:r>
    </w:p>
    <w:p>
      <w:pPr>
        <w:pStyle w:val="Heading2"/>
      </w:pPr>
      <w:r>
        <w:t>Erwägungen</w:t>
      </w:r>
    </w:p>
    <w:p>
      <w:r>
        <w:rPr>
          <w:b/>
        </w:rPr>
        <w:t>E. 3</w:t>
      </w:r>
    </w:p>
    <w:p>
      <w:r>
        <w:t>Das Obergericht wirft dem Beschwerdeführer Unaufmerksamkeit vor, indem er statt den ganzen Strassenbereich nur seine eigene Fahrbahnhälfte beobachtet und deshalb die Fussgängerin erst erblickt habe, als sie sich bereits in der Mitte der Strasse befand. Die ungenügende Aufmerksamkeit habe ihn daher ausserstande gesetzt, rechtzeitig und wirksam zu reagieren. Aus diesem Grunde habe er mangels Beherrschung des Fahrzeuges Art. 31 Abs. 1 SVG verletzt und den Tod der Fussgängerin pflichtwidrig verursacht. Der Beschwerdeführer bestreitet demgegenüber, Sorgfaltspflichten verletzt zu haben. Er habe nach dem Vertrauensgrundsatz annehmen dürfen, die Fussgängerin halte in der Strassenmitte an, um ihn als Vortrittsberechtigten vorbeifahren zu lassen. Anhaltspunkte dafür, dass sich die Fussgängerin unrichtig verhalte, hätten keine bestanden. Auch habe nicht erkannt werden können, dass es sich bei der Verunfallten um eine alte und halbblinde Person gehandelt habe. a) Die Fussgängerin überquerte die Fahrbahn unbestrittenermassen ausserhalb eines Fussgängerstreifens, so dass dem Beschwerdeführer das Vortrittsrecht zustand ( Art. 47 Abs. 5 VRV ). Pflichtwidrig unvorsichtig verhielt er sich darum BGE 103 IV 107 S. 109 nach der Rechtsprechung nur, wenn er trotz Anzeichen für eine Missachtung seines Vortrittsrechts entgegen Art. 26 Abs. 2 SVG nicht alles Zumutbare vorkehrte, um einen Unfall zu verhindern ( BGE 97 IV 127 E. 4a). Ein solches Anzeichen für verkehrswidriges Verhalten liegt nicht schon in der Tatsache, dass ein Fussgänger ausserhalb eines Fussgängerstreifens von links her die Strasse zu überschreiten beginnt. Es kommt häufig vor, dass Fussgänger die Strasse vorerst bis zur Mitte überqueren und dort anhalten, um abzuwarten, bis sie nach der Durchfahrt von Fahrzeugen den Weg gefahrlos fortsetzen können. Der Fahrzeugführer ist in solchen Fällen nicht verpflichtet, seine Geschwindigkeit herabzusetzen oder gar anzuhalten, wenn keine besonderen Anzeichen eines verkehrswidrigen Verhaltens zu erkennen sind ( BGE 97 IV 127 E. 4a, BGE 94 IV 142 /143). Dass für den Beschwerdeführer erkennbar gewesen sei, bei der Fussgängerin handle es sich um eine alte und gebrechliche Frau, wird von der Vorinstanz nicht festgestellt. Es bestand daher unter diesem Gesichtspunkt kein Grund zu besonderer Vorsicht. b) Aus den vorausgehenden Erwägungen folgt, dass in der dem Beschwerdeführer vorgeworfenen Unaufmerksamkeit nur dann eine schuldhafte Ursache des Todes der Fussgängerin gesehen werden könnte, wenn schon deren Verhalten vor dem kurzen Halt in der Strassenmitte darauf hätte schliessen lassen, sie werde dem Beschwerdeführer den Vortritt nicht gewähren. Dafür bietet das angefochtene Urteil keinerlei Anhaltspunkte. Es kann sich daher nur fragen, ob dem Beschwerdeführer vom Zeitpunkt an, in dem die Fussgängerin nach ihrem Halt sich zur Überquerung der rechten Strassenhälfte anschickte, eine Verletzung der Sorgfaltspflicht zur Last zu legen sei. Über diese zweite Phase des Geschehens enthält das angefochtene Urteil aber keine tatsächlichen Feststellungen. Insbesondere kann ihm nicht entnommen werden, ob der Beschwerdeführer den Beginn des verkehrswidrigen Verhaltens der Fussgängerin sofort oder verspätet wahrnahm, ob er darauf unverzüglich und zweckmässig reagierte oder nicht und ob er bei Anwendung der gebotenen Sorgfalt den tödlichen Ausgang mit einem hohen Grad der Wahrscheinlichkeit hätte abwenden können ( BGE 102 IV 100 ). Der angefochtene Entscheid ist somit gemäss Art. 277 BStP aufzuheben und die Sache an die Vorinstanz zurückzuweisen. BGE 103 IV 107 S. 110 c) Das Obergericht wird die Sache nach Abklärung der tatsächlichen Verhältnisse neu zu beurteilen haben, wobei auch zu prüfen ist, ob gestützt auf den ergänzten Sachverhalt eine Verurteilung des Beschwerdeführers wegen fahrlässiger Tötung nach kantonalem Verfahrensrecht überhaupt zulässig ist. Wäre dies nicht der Fall, müsste der Beschwerdeführer freigesprochen werden wie auch dann, wenn sich erweisen sollte, dass sich der Beschwerdeführer einer Verletzung der Sorgfaltspflicht nicht schuldig gemacht hat oder dass der eingetretene Erfolg auch bei sofortiger und zweckmässiger Reaktion des Beschwerdeführers nicht zu vermeiden gewesen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