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155</w:t>
      </w:r>
    </w:p>
    <w:p>
      <w:r>
        <w:t>Bundesgericht (BGE), 1977-01-01, DE</w:t>
      </w:r>
    </w:p>
    <w:p>
      <w:r>
        <w:rPr>
          <w:b/>
        </w:rPr>
        <w:t xml:space="preserve">Quelle: </w:t>
      </w:r>
      <w:r>
        <w:t>https://mcp.opencaselaw.ch/entscheid/bge_BGE_103_II_155</w:t>
      </w:r>
    </w:p>
    <w:p>
      <w:r>
        <w:t>FR: ATF 103 II 155</w:t>
      </w:r>
    </w:p>
    <w:p>
      <w:r>
        <w:t>IT: DTF 103 II 155</w:t>
      </w:r>
    </w:p>
    <w:p>
      <w:pPr>
        <w:pStyle w:val="Heading2"/>
      </w:pPr>
      <w:r>
        <w:t>Regeste</w:t>
      </w:r>
    </w:p>
    <w:p>
      <w:r>
        <w:t>Regeste Berufung. 1. Art. 50 OG. Voraussetzung für die Berufung gegen einen Zwischenentscheid (E. 1). 2. Art. 46 OG. Der Streitwert bestimmt sich nicht nach der Begründung des angefochtenen Urteils, sondern nach den Rechtsbegehren, die vor der letzten kantonalen Instanz noch streitig waren (E. 2). 3. Blosse Erwägungen begründen kein rechtlich geschütztes Interesse an der Berufung und bedeuten auch keine Beschwer (E. 3). 4. Art. 55 Abs. 1 lit. b, Art. 57 Abs. 1 OG. Verbot neuer Begehren. Entscheid über die Berufung vor Erledigung einer kantonalen Nichtigkeitsbeschwerde (E. 4 und E. 5).</w:t>
      </w:r>
    </w:p>
    <w:p>
      <w:r>
        <w:t>Regeste Recours en réforme. 1. Art. 50 OJ. Conditions de recevabilité du recours en réforme contre une décision incidente (consid. 1). 2. Art. 46 OJ. La valeur litigieuse ne se détermine pas d'après les motifs du jugement attaqué, mais d'après les chefs de conclusions qui étaient encore en cause en dernière instance cantonale (consid. 2). 3. De simples motifs ne donnent pas un intérêt juridiquement protégé à interjeter recours en réforme, ni ne lèsent une partie (consid. 3). 4. Art. 55 al. 1 litt. b, art. 57 al. 1 OJ. Interdiction de présenter des conclusions nouvelles. Décision sur le recours en réforme avant qu'il ait été statué sur un recours en nullité cantonal (consid. 4 et consid. 5).</w:t>
      </w:r>
    </w:p>
    <w:p>
      <w:r>
        <w:t>Regesto Ricorso per riforma. 1. Art. 150 OG. Presupposti per l'ammissibilità del ricorso per riforma contro una decisione incidentale (consid. 1). 2. Art. 46 OG. Il valore litigioso non è determinato dalle motivazioni della decisione impugnata ma dalle conclusioni ancora litigiose davanti all'ultima istanza cantonale (consid. 2). 3. Semplici motivi non fondano ancora un interesse giuridicamente protetto a proporre un ricorso per riforma, né costituiscono lesione dei diritti di una parte (consid. 3). 4. Art. 55 cpv. 1 lett. b, art. 57 cpv. 1 OG. Divieto di presentare nuove conclusioni. Decisione sul ricorso per riforma prima dell'emanazione di un guidizio su di un ricorso per cassazione cantonale (consid. 4 e consid. 5).</w:t>
      </w:r>
    </w:p>
    <w:p>
      <w:pPr>
        <w:pStyle w:val="Heading2"/>
      </w:pPr>
      <w:r>
        <w:t>Erwägungen</w:t>
      </w:r>
    </w:p>
    <w:p>
      <w:r>
        <w:rPr>
          <w:b/>
        </w:rPr>
        <w:t>E. 1</w:t>
      </w:r>
    </w:p>
    <w:p>
      <w:r>
        <w:t>Die Berufung richtet sich gegen einen Zwischenentscheid. Die Berufungsanträge gehen auf Fällung eines Endentscheides, in erster Linie auf Abweisung der Klage wegen Nichtigkeit der Kündigung, subsidiär auf Erstreckung des Mietverhältnisses. Durch die Gutheissung dieser Begehren BGE 103 II 155 S. 158 könnte jedoch nicht "ein so bedeutender Aufwand an Zeit oder Kosten für ein weitläufiges Beweisverfahren erspart werden", dass sich gemäss Art. 50 OG die Berufung ausnahmsweise rechtfertigen liesse. Die Kläger machen nicht geltend, es sei ein weitläufiges Beweisverfahren nötig, damit das Mietgericht über die erneute Erstreckung des Mietverhältnisses entscheiden könne. Zu vermuten ist das nicht, da das Verhältnis schon einmal erstreckt worden ist und die Kläger dem Bundesgericht mit dem Eventualantrag sogar zutrauen, über das Erstreckungsbegehren sogleich selber urteilen zu können. Auf die Berufung ist daher schon aus diesem Grunde nicht einzutreten.</w:t>
      </w:r>
    </w:p>
    <w:p>
      <w:r>
        <w:rPr>
          <w:b/>
        </w:rPr>
        <w:t>E. 2</w:t>
      </w:r>
    </w:p>
    <w:p>
      <w:r>
        <w:t>Die Kläger rekurrierten gegen das Urteil des Mietgerichtes nicht, und sie beantragten dem Obergericht, den Rekurs der Beklagten abzuweisen. Sie fanden sich also mit der Abweisung der Klage ab. Die rekurrierenden Beklagten beantragten dem Obergericht ebenfalls, die Klage abzuweisen. Gestritten wurde in zweiter Instanz nur um die Begründung: Die Kläger wollten die Klage wegen Ungültigkeit der Kündigung abgewiesen wissen, die Beklagten dagegen mangels eines Grundes zur nochmaligen Erstreckung des Mietverhältnisses. Das Interesse der Parteien an der einen oder anderen Begründung fällt bei der Bestimmung des Streitwertes ausser Betracht. Dieser richtet sich gemäss Art. 46 OG nur nach den Rechtsbegehren, die bei der letzten kantonalen Instanz noch streitig waren. Unter den Rechtsbegehren sind die Anträge zu verstehen, die Gegenstand des Urteilsspruches sein sollen und, wenn gutgeheissen, an dessen Rechtskraft teilnehmen würden. Die Begründung gehört auch dann nicht dazu, wenn die Parteien der Meinung sind, sie sei auch im Urteilsspruch anzugeben. Denn blosse Entscheidungsgründe werden, selbst wenn sie im Urteilsspruch erwähnt sind, nicht rechtskräftig ( BGE 102 II 288 , BGE 99 II 174 mit weiteren Hinweisen). Wäre die Auffassung der Kläger, die Kündigung sei nichtig, vom Obergericht geteilt worden, so wäre sie daher nur Entscheidungsgrund geworden. Das Obergericht sagt das, indem es in Anwendung kantonalen Gerichtsverfassungsrechtes ( § 18 GVG ) für das Bundesgericht verbindlich ausführt, die Frage nach der Gültigkeit der Kündigung dürfe vom Mietgericht bekanntlich nur vorfrageweise geprüft werden, die ordentlichen Gerichte wären im Prozesse über die Ausweisung der Mieter BGE 103 II 155 S. 159 bzw. die Gültigkeit der Kündigung an die Auffassung des Mietgerichtes nicht gebunden und die Kläger hätten verzichtet, diese Frage zum Gegenstand des mietgerichtlichen Prozesses zu machen. Da die Parteien vor dem Obergericht übereinstimmend die Abweisung der Klage beantragten und nur um die Begründung stritten, fehlt somit ein Streitinteresse. Der Streitwert im Sinne des Art. 46 OG ist null und die Berufung daher auch aus diesem Grunde nicht zulässig. Es ändert nichts, dass das Obergericht zur Vermeidung eines Revisionsverfahrens und subsidiär auch wegen Gültigkeit der Kündigung das Urteil des Mietgerichtes aufgehoben und die Sache zum Entscheid der Frage, ob das Mietverhältnis zu erstrecken sei, an die erste Instanz zurückgewiesen hat, so dass das Verfahren hierüber weiter geht. Der Streitwert bestimmt sich nicht nach dem Inhalt des angefochtenen Urteils, sondern nach den Rechtsbegehren, die vor der letzten kantonalen Instanz noch streitig waren. Dass das Obergericht über diese Rechtsbegehren hinausgegangen ist, vermag die Sache nicht berufungsfähig zu machen.</w:t>
      </w:r>
    </w:p>
    <w:p>
      <w:r>
        <w:rPr>
          <w:b/>
        </w:rPr>
        <w:t>E. 3</w:t>
      </w:r>
    </w:p>
    <w:p>
      <w:r>
        <w:t>Indem die Kläger mit der Berufung beantragen, die Klage wegen Nichtigkeit der Kündigung abzuweisen, versuchen sie den Streit um blosse Motive der von beiden Parteien beantragten Abweisung vor dem Bundesgericht fortzusetzen. Hieran fehlt ihnen ein rechtlich geschütztes Interesse. Da das Mietgericht nach dem kantonalen Gerichtsverfassungsgesetz nicht zuständig ist, über die Frage der Gültigkeit der Kündigung ein der Rechtskraft fähiges Urteil zu fällen, und da die Kläger, wenn sie die Kündigung ursprünglich nicht geradezu selber als gültig betrachtet haben sollten, nach verbindlicher Feststellung des Obergerichts zumindest darauf verzichteten, sie zum Gegenstand des mietgerichtlichen Prozesses zu machen, könnte auch das Bundesgericht nicht mit Rechtskraftwirkung entscheiden, die Kündigung sei ungültig. Es könnte diese Frage nur allenfalls als Vorfrage beurteilen, und die ordentlichen kantonalen Gerichte wären in einem Prozess über die Ausweisung der Kläger an seinen Entscheid nicht gebunden. Das Interesse der Kläger, vom Bundesgericht eine Meinung zu vernehmen, die von den ordentlichen Gerichten vielleicht freiwillig übernommen würde, ist rechtlich nicht geschützt. Die Kläger sind durch den angefochtenen Entscheid nicht beschwert. Die Berufung ist deshalb auch aus BGE 103 II 155 S. 160 diesem Grunde nicht zulässig ( BGE 94 II 210 E. 3, BGE 91 II 62 E. 4). Dass die Kläger die Erwägungen des Urteils beanstanden, ändert nichts; blosse Erwägungen bedeuten keine Beschwer ( BGE 86 II 383 ).</w:t>
      </w:r>
    </w:p>
    <w:p>
      <w:r>
        <w:rPr>
          <w:b/>
        </w:rPr>
        <w:t>E. 4</w:t>
      </w:r>
    </w:p>
    <w:p>
      <w:r>
        <w:t>Sollte der Berufungsantrag den Sinn haben, das Bundesgericht habe über die Ungültigkeit der Kündigung ein der Rechtskraft fähiges Feststellungsurteil zu fällen, so wäre das ein Antrag, der im kantonalen Verfahren nicht gestellt wurde und daher dem Verbot neuer Begehren ( Art. 55 Abs. 1 lit. b OG ) widerspräche. Es könnte darauf nicht eingetreten werden.</w:t>
      </w:r>
    </w:p>
    <w:p>
      <w:r>
        <w:rPr>
          <w:b/>
        </w:rPr>
        <w:t>E. 5</w:t>
      </w:r>
    </w:p>
    <w:p>
      <w:r>
        <w:t>Da die Berufung nicht zulässig ist, braucht der Entscheid des kantonalen Kassationsgerichts über die Nichtigkeitsbeschwerde nicht abgewartet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