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76</w:t>
      </w:r>
    </w:p>
    <w:p>
      <w:r>
        <w:t>Bundesgericht (BGE), 1977-10-14, DE</w:t>
      </w:r>
    </w:p>
    <w:p>
      <w:r>
        <w:rPr>
          <w:b/>
        </w:rPr>
        <w:t xml:space="preserve">Quelle: </w:t>
      </w:r>
      <w:r>
        <w:t>https://mcp.opencaselaw.ch/entscheid/bge_BGE_103_III_76</w:t>
      </w:r>
    </w:p>
    <w:p>
      <w:r>
        <w:t>FR: ATF 103 III 76</w:t>
      </w:r>
    </w:p>
    <w:p>
      <w:r>
        <w:t>IT: DTF 103 III 76</w:t>
      </w:r>
    </w:p>
    <w:p>
      <w:pPr>
        <w:pStyle w:val="Heading2"/>
      </w:pPr>
      <w:r>
        <w:t>Regeste</w:t>
      </w:r>
    </w:p>
    <w:p>
      <w:r>
        <w:t>Regeste Postkontrolle im Konkurs; Art. 38 KOV. Eine Postkontrolle ist im Konkurs nur anzuordnen, wenn die Umstände des einzelnen Falles diese Massnahme als zur Wahrung der Gläubigerinteressen unbedingt notwendig erscheinen lassen (E. 2).</w:t>
      </w:r>
    </w:p>
    <w:p>
      <w:r>
        <w:t>Regeste Contrôle du courrier dans la faillite; art. 38 OOF. Un contrôle du courrier ne doit être ordonné dans la faillite que lorsque cette mesure est indispensable pour la sauvegarde des intérêts des créanciers (consid. 2).</w:t>
      </w:r>
    </w:p>
    <w:p>
      <w:r>
        <w:t>Regesto Controllo degli invii postali nel fallimento; art. 38 RUF. Un controllo degli invii postali nel fallimento deve essere disposto unicamente quando le circostanze del singolo caso fanno ritenere tale misura assolutamente indispensabile per la salvaguardia degli interessi dei creditori (consid. 2).</w:t>
      </w:r>
    </w:p>
    <w:p>
      <w:pPr>
        <w:pStyle w:val="Heading2"/>
      </w:pPr>
      <w:r>
        <w:t>Erwägungen</w:t>
      </w:r>
    </w:p>
    <w:p>
      <w:r>
        <w:rPr>
          <w:b/>
        </w:rPr>
        <w:t>E. 1</w:t>
      </w:r>
    </w:p>
    <w:p>
      <w:r>
        <w:t>Nach ständiger Rechtsprechung ist das Konkursamt zum Rekurs ans Bundesgericht nur legitimiert, wenn der angefochtene Entscheid der kantonalen Aufsichtsbehörde die Interessen der Konkursmasse berührt ( BGE 102 III 80 , BGE 100 III 65 , mit Hinweisen). Im vorliegenden Fall möchte der Konkursbeamte einen Entscheid erwirken, der ihm "für die Zukunft eine Handhabe für die Anwendung bzw. Interpretation des Art. 38 KOV gibt." Es geht ihm somit vor allem darum, durch das Bundesgericht eine ihm nicht genehme Auffassung seiner Aufsichtsbehörde überprüfen zu lassen, und nicht darum - jedenfalls nicht direkt -, die Interessen der Konkursmasse zu wahren. Dazu kann aber der Rekurs im Sinne von Art. 19 SchKG nicht dienen. Freilich behauptet der Rekurrent in seiner Eingabe, Hauptanlass zum Rekurs gebe ihm die Tatsache, dass er auf Grund der noch bestehenden Postsperre von einer Forderung des Gemeinschuldners in der Höhe von Fr. 321'000.-- erfahren habe, die dieser weder bei der Inventaraufnahme noch bei seiner Befragung angegeben habe. Damit will er offenbar dartun, dass die Weiterführung der Postkontrolle im Interesse der Konkursmasse liege und dass er deswegen Rekurs erhoben habe. Unter diesem Gesichtspunkt müsste die Rekurslegitimation des Konkursamtes wohl bejaht werden. Wie es sich damit verhält, kann indessen offen bleiben. Angesichts der Praxis des Konkursamtes St. Gallen, in jedem Konkurs und für die gesamte Dauer des Konkursverfahrens die Postkontrolle anzuordnen, erscheint es nämlich ohnehin als angezeigt, die mit dem Rekurs aufgeworfene Frage zu prüfen. Sie ist grundsätzlicher Natur, und das Bundesgericht kann zu ihr als Aufsichtsbehörde über das Schuldbetreibungs- und Konkurswesen ( Art. 15 SchKG ) auch ausserhalb eines Rekursverfahrens Stellung nehmen ( BGE 99 III 62 ).</w:t>
      </w:r>
    </w:p>
    <w:p>
      <w:r>
        <w:rPr>
          <w:b/>
        </w:rPr>
        <w:t>E. 2</w:t>
      </w:r>
    </w:p>
    <w:p>
      <w:r>
        <w:t>Art. 38 KOV räumt den Konkursämtern wohl die Befugnis ein, von der zuständigen Kreispostdirektion für die Dauer des Konkurses die Einsichtnahme oder Auslieferung von Postsendungen und Postcheckgeldern, die an den Gemeinschuldner adressiert sind oder von ihm abgesandt werden, sowie Auskunfterteilung über den Postverkehr des Gemeinschuldners BGE 103 III 76 S. 78 zu verlangen, wobei dieser das Recht hat, der Öffnung der Sendungen beizuwohnen (vgl. auch Art. 6 Abs. 4 des Postverkehrsgesetzes). Die mit diesem Eingriff in das in Art. 36 Abs. 4 BV gewährleistete Postgeheimnis verbundene schwere Beeinträchtigung der Persönlichkeitsrechte des Konkursiten setzt jedoch voraus, dass die Umstände des einzelnen Falles die Anordnung der Postkontrolle als unbedingt notwendig erscheinen lassen, weil anders die Interessen der Konkursmasse und der Gläubiger wegen des Verhaltens des Gemeinschuldners ernsthaft gefährdet wären. Art. 38 KOV muss demnach sehr eng ausgelegt werden, und die Anordnung der Postkontrolle darf, wie die Vorinstanz zutreffend darlegt, den Grundsatz der Verhältnismässigkeit nicht verletzen. Es muss somit in jedem einzelnen Konkurs konkret geprüft werden, ob sich diese Massnahme aufdränge und allenfalls wann sie wieder aufgehoben werden könne. Auf keinen Fall geht es an, die Postkontrolle sozusagen routinemässig anzuordnen und sie stets und ohne Beachtung des einzelnen Konkursfalles bis zum Abschluss des Verfahrens aufrecht zu erhalten. Im vorliegenden Fall macht das Konkursamt zur Rechtfertigung der Postkontrolle einzig geltend, es habe in einem an den Gemeinschuldner gerichteten Brief den Hinweis auf eine Forderung gefunden, die bei der Inventaraufnahme nicht angegeben worden sei. Das allein reicht indessen nicht aus. Die Vorinstanz hat die Postkontrolle daher zu Recht aufgehoben.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