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199 vom 1. Januar 1977</w:t>
      </w:r>
    </w:p>
    <w:p>
      <w:r>
        <w:t>Bundesgericht (BGE), 1977-01-01, DE</w:t>
      </w:r>
    </w:p>
    <w:p>
      <w:r>
        <w:rPr>
          <w:b/>
        </w:rPr>
        <w:t xml:space="preserve">Quelle: </w:t>
      </w:r>
      <w:r>
        <w:t>https://mcp.opencaselaw.ch/entscheid/bge_BGE_103_IA_199</w:t>
      </w:r>
    </w:p>
    <w:p>
      <w:r>
        <w:t>FR: BGE BGE 103 IA 199 du 1 janvier 1977</w:t>
      </w:r>
    </w:p>
    <w:p>
      <w:r>
        <w:t>IT: BGE BGE 103 IA 199 del 1 gennaio 1977</w:t>
      </w:r>
    </w:p>
    <w:p>
      <w:pPr>
        <w:pStyle w:val="Heading2"/>
      </w:pPr>
      <w:r>
        <w:t>Regeste</w:t>
      </w:r>
    </w:p>
    <w:p>
      <w:r>
        <w:t>Regeste Schweiz.-deutsches Vollstreckungsabkommen vom 2. Nov. 1929. Die Vollstreckung eines deutschen Versäumnisurteils, das in Übereinstimmung mit der deutschen Zivilprozessordnung weder eine Sachverhaltsdarstellung noch Entscheidungsgründe enthält, verletzt den schweizerischen ordre public nicht (Bestätigung der Rechtsprechung).</w:t>
      </w:r>
    </w:p>
    <w:p>
      <w:r>
        <w:t>Regeste Convention entre la Confédération suisse et la République fédérale allemande relative à la reconnaissance et à l'exécution de décisions judiciaires et de sentences arbitrales, du 2 novembre 1929. L'exécution d'un jugement par défaut rendu en Allemagne et qui, conformément au Code de procédure civile de ce pays, ne contient ni exposé des faits, ni motifs, n'est pas contraire à l'ordre public suisse (confirmation de la jurisprudence).</w:t>
      </w:r>
    </w:p>
    <w:p>
      <w:r>
        <w:t>Regesto Convenzione tra la Svizzera e la Repubblica federale di Germania circa il riconoscimento e l'esecuzione delle decisioni giudiziarie e delle sentenze arbitrali, del 2 novembre 1929. L'esecuzione di una decisione contumaciale, pronunciata nella Republica federale di Germania, che, conformemente alle disposizioni del codice di procedura civile germanico, non contiene un riassunto dei fatti né una motivazione, non è contraria all'ordine pubblico svizzero (conferma della giurisprudenza).</w:t>
      </w:r>
    </w:p>
    <w:p>
      <w:pPr>
        <w:pStyle w:val="Heading2"/>
      </w:pPr>
      <w:r>
        <w:t>Erwägungen</w:t>
      </w:r>
    </w:p>
    <w:p>
      <w:r>
        <w:rPr>
          <w:b/>
        </w:rPr>
        <w:t>E. 2</w:t>
      </w:r>
    </w:p>
    <w:p>
      <w:r>
        <w:t>(Die Rüge, das deutsche Urteil könne wegen fehlender Zuständigkeit des Landgerichts Ravensburg nicht vollstreckt werden, ist unbegründet.)</w:t>
      </w:r>
    </w:p>
    <w:p>
      <w:r>
        <w:rPr>
          <w:b/>
        </w:rPr>
        <w:t>E. 3</w:t>
      </w:r>
    </w:p>
    <w:p>
      <w:r>
        <w:t>a) Gemäss Art. 6 Abs. 1 in Verbindung mit Art. 4 Abs. 1 des Vollstreckungsabkommens ist die Vollstreckung zu versagen, wenn durch die Entscheidung ein Rechtsverhältnis zur Verwirklichung gelangen soll, dem im Vollstreckungsstaat aus Rücksichten der öffentlichen Ordnung oder der Sittlichkeit die Gültigkeit, Verfolgbarkeit oder Klagbarkeit versagt ist. Diese staatsvertragliche ordre public-Klausel geht als Spezialnorm dem allgemeinen Begriff des ordre public, wie er unter anderem in den kantonalen Zivilprozessordnungen enthalten ist, vor (vgl. SCHNITZER, Handbuch des Internationalen Privatrechts, 4. A., S. 237; BGE 87 I 78 E. 6; BGE 85 I 48 E. 4a am Ende). Die in einem Staatsvertrag enthaltenen Bestimmungen BGE 103 Ia 199 S. 201 werden zu schweizerischem Recht und können deshalb nicht gegen die hiesige öffentliche Ordnung verstossen, selbst wenn sie inhaltlich von der sonst üblichen einheimischen Auffassung abweichen ( BGE 101 Ia 526 ; BGE 94 I 362 ff. ; 87 I 80 ; BGE 81 I 231 ; BGE 81 II 179 ). Der Anwendungsbereich des vertraglichen und des allgemeinen Vorbehalts des ordre public wird dabei in dem Umfang eingeschränkt, als die Voraussetzungen, unter welchen ein ausländisches Urteil zu vollstrecken ist, im Staatsvertrag näher umschrieben sind. Es geht nicht an, die staatsvertragliche Regelung unter Berufung auf den ordre public im Ergebnis praktisch rückgängig zu machen und die Wirkungen des Vertrages, dessen Ziel gerade darin besteht, die Existenz der verschiedenen Rechtssysteme anzuerkennen und zu koordinieren, zu vereiteln ( BGE 102 Ia 316 ; BGE 101 Ia 529 , 526). b) Mit der Formulierung des Vorbehalts in Art. 4 Abs. 1 des Vollstreckungsabkommens wurde versucht, den Anwendungsbereich der ordre public-Klausel möglichst einzuschränken ( BGE 102 Ia 314 ; Botschaft des Bundesrates zum VA, BBl 1929 III S. 536 f.). Diese ist daher eng auszulegen und anzuwenden. Das bedeutet nicht, dass ein Urteil gegen die öffentliche Ordnung nur wegen seines materiellen Inhalts verstossen könne, obwohl der Wortlaut der Vertragsklausel darauf primär hinweist. Vielmehr kann ein solcher Verstoss auch wegen des Verfahrens vorliegen, in welchem das Urteil zustandegekommen ist ( BGE 102 Ia 313 E. 5; BGE 101 Ia 526 E. 4a; BGE 98 Ia 553 E. 3; BGE 97 I 256 E. 6, 157 E. 5 mit Hinweisen). c) Nach Art. 7 Abs. 1 Ziff. 1 VA hat die Partei, welche die Vollstreckung verlangt, eine "vollständige Ausfertigung" der Entscheidung beizubringen. Diese Voraussetzung ist im Falle eines deutschen Versäumnisurteils erfüllt, wenn es so ausgefertigt ist, wie die massgebenden deutschen Verfahrensvorschriften dies vorsehen, denn es bestehen keine Anhaltspunkte dafür, dass das Vollstreckungsabkommen einen selbständigen Begriff der "vollständigen Ausfertigung" schaffen wollte, dessen Erfordernisse durch die nach der deutschen ZPO ergangenen Versäumnisurteile nicht erfüllt würden ( BGE 87 I 80 ; BGE 68 I 164 ; nicht veröffentlichtes Urteil i.S. Dewald vom 8. März 1936, E. 1). d) Für die Herstellung und Ausfertigung eines Versäumnisurteils enthalten die §§ 313 Abs. 3 und 317 Abs. 4 der deutschen Zivilprozessordnung folgende Regelung: BGE 103 Ia 199 S. 202 Nach § 313 Abs. 3 D-ZPO kann, wenn durch Versäumnis- oder Anerkenntnisurteil nach dem Antrag des Klägers erkannt wird, das Urteil in abgekürzter Form auf die bei den Akten befindliche Urschrift oder Abschrift der Klage oder auf ein damit zu verbindendes Blatt gesetzt werden. In diesem Falle ist das Urteil als Versäumnis- oder Anerkenntnisurteil zu bezeichnen. Des Tatbestandes, der Entscheidungsgründe und der Bezeichnung der mitwirkenden Richter bedarf es nicht. Der Bezeichnung der Parteien, ihrer gesetzlichen Vertreter und der Prozessbevollmächtigten bedarf es nur insoweit, als von den Angaben der Klageschrift abgewichen wird. In der Urteilsformel kann auf die Klageschrift Bezug genommen werden. Nach § 317 Abs. 4 D-ZPO erfolgt die Ausfertigung, sofern das Urteil nach § 313 Abs. 3 in abgekürzter Form hergestellt ist, in gleicher Weise unter Benutzung einer beglaubigten Abschrift der Klageschrift oder in der Weise, dass das Urteil durch Aufnahme der in § 313 Abs. 1 Nr. 1, 2 und 5 bezeichneten Angaben vervollständigt wird (Bezeichnung der Parteien, ihrer gesetzlichen Vertreter und der Prozessbevollmächtigten; Bezeichnung des Gerichts und Namen der Richter; Urteilsformel). Die Herstellung eines Versäumnisurteils in der abgekürzten Form ist nach der deutschen Gesetzgebung in gewissen Rechtsgebieten und gegenüber gewissen Vertragsstaaten, in denen das Urteil geltend gemacht werden soll, ausgeschlossen. Im hier interessierenden Zusammenhang ist dies jedoch nicht der Fall. e) Die von der Bau- und Bodenbank AG beigebrachte Urteilsausfertigung entspricht den dargelegten Vorschriften der deutschen Zivilprozessordnung. Dass das Urteil nicht auf eine Abschrift der Klage oder ein damit verbundenes Blatt gesetzt ist, stellt keinen Mangel dar. § 317 Abs. 4 D-ZPO lässt dem Urkundsbeamten die Wahl zwischen einer solchen Ausfertigung und der Ergänzung des Urteils durch Aufnahme der in § 313 Abs. 1 Nr. 1, 2 und 5 bezeichneten Angaben. Im vorliegenden Falle wurde die zweite Möglichkeit gewählt. Entspricht die Urteilsausfertigung den massgebenden landesrechtlichen Vorschriften und ist sie demnach "vollständig" im Sinne von Art. 7 Abs. 1 Ziff. 1 des Vollstreckungsabkommens, so kann der Beschwerdeführer das Fehlen einer Urteilsbegründung BGE 103 Ia 199 S. 203 nach dem schon Gesagten nicht als Verstoss gegen den ordre public beanstanden ( BGE 87 I 80 ; BGE 86 I 164 ; Urteil Dewald, E. 1). An dieser Rechtsprechung, die in der Lehre Zustimmung gefunden hat (STAEHELIN, Die Staatsverträge über Zivilprozess und Zwangsvollstreckung nach der neueren Praxis des Bundesgerichts, in: Erhaltung und Entfaltung des Rechts in der Rechtsprechung des Schweizerischen Bundesgerichts, S. 582; DAVID/MAIER. Die Vollstreckung von gerichtlichen Entscheidungen ..., S. 69, 90), ist festzuhalten, wie in den nachfolgenden Erwägungen zusätzlich begründet werden soll. Dem Abschluss des Vollstreckungsabkommens mit dem Deutschen Reich vom 2. November 1929 ging der Vertrag zwischen der Schweiz und Osterreich vom 15. März 1927 über die Anerkennung und Vollstreckung gerichtlicher Entscheidungen voraus. Dessen Art. 4 Abs. 1 Ziff. 4 bestimmte ausdrücklich, dass die Partei, welche die Vollstreckung beantragt, eine Abschrift der Klage oder andere geeignete Urkunden beizubringen habe, wenn die Entscheidung den ihr zugrundeliegenden Sachverhalt nicht soweit erkennen lasse, dass eine Prüfung im Hinblick auf die in Art. 1 des Vertrages geregelten Voraussetzungen der Vollstreckung, wo auch der Vorbehalt der öffentlichen Ordnung enthalten war, möglich sei (vgl. auch Art. 6 Abs. 1 Ziff. 4 des neuen Vertrags mit der Republik Osterreich vom 16. Dezember 1960). Den schweizerischen Behörden konnte unter diesen Umständen bei Abschluss des Abkommens mit dem deutschen Reich nicht unbekannt sein, dass sich Urteile ohne Tatbestand und Entscheidungsgründe nicht ohne weiteres auf ihre Vereinbarkeit mit der einheimischen öffentlichen Ordnung überprüfen lassen. Ebenso konnte ihnen nicht entgangen sein, dass die damals geltende Zivilprozessordnung für das Deutsche Reich die Ausfertigung von Versäumnisurteilen ohne Tatbestand und Entscheidungsgründe vorsah (vgl. z.B. STEIN/JONAS, Die Zivilprozessordnung für das Deutsche Reich, 14. A., 1928, S. 894 f., 900 f.). Bei dieser Sachlage muss der Schluss gezogen werden, dass die Schweiz darauf verzichtete, als Voraussetzung für die Vollstreckung deutscher Versäumnisurteile in der Schweiz eine Ausfertigung mit Tatbestand und Entscheidungsgründen oder allenfalls die Vorlage einer Abschrift der Klage oder anderer Urkunden zu verlangen, die geeignet wären, den dem Urteil zugrundeliegenden Rechtsstreit und die Entscheidungsgründe BGE 103 Ia 199 S. 204 zu erhellen. Ein Verstoss gegen den Vorbehalt der öffentlichen Ordnung im Sinne von Art. 4 Abs. 1 VA kann bei Vollstreckung eines deutschen Versäumnisurteils, das weder einen Tatbestand noch Entscheidungsgründe enthält, deshalb nicht vorliegen (vgl. auch BGE 102 Ia 316 f.; BGE 101 Ia 529 ).</w:t>
      </w:r>
    </w:p>
    <w:p>
      <w:r>
        <w:rPr>
          <w:b/>
        </w:rPr>
        <w:t>E. 4</w:t>
      </w:r>
    </w:p>
    <w:p>
      <w:r>
        <w:t>a) Zu einem anderen Ergebnis gelangte man auch dann nicht, wenn nicht schon aus dem Abkommen selber zu schliessen wäre, dass das Fehlen einer Sachverhaltsdarstellung und von Entscheidungsgründen kein Hindernis für die Vollstreckung deutscher Versäumnisurteile in der Schweiz sein solle. Der Vorbehalt des ordre public greift nach der bundesgerichtlichen Rechtsprechung nur dann Platz, wenn das einheimische Rechtsgefühl durch die Anerkennung und Vollstreckung eines ausländischen Urteils in unerträglicher Weise verletzt würde, weil durch dieses Urteil grundlegende Vorschriften der schweizerischen Rechtsordnung missachtet werden. Dabei sind nach der Rechtsprechung des Bundesgerichts der Anwendung der ordre public-Klausel mit Bezug auf die Vollstreckung eines ausländischen Urteils engere Grenzen gesetzt als im Gebiet der direkten Rechtsanwendung ( BGE 102 Ia 313 f.; BGE 98 Ia 533 E. 3a und b; BGE 97 I 256 E. 6, 157 E. 5 mit Hinweisen). b) Nach § 328 D-ZPO steht der Partei, gegen die ein Versäumnisurteil ergangen ist, der Einspruch zu. Ist dieser Rechtsbehelf, der von keinen besonderen Voraussetzungen abhängt (§ 340 D-ZPO) und nicht weiter begründet werden muss, innert der Frist von zwei Wochen erhoben worden, so wird der Prozess in die Lage zurückversetzt, in der er sich vor Erlass des Versäumnisurteils befand (§ 342 D-ZPO). Kommt es in der Folge zu einem Entscheid im ordentlichen Verfahren, so hat das Urteil nach § 313 Abs. 1 Nr. 3 und 4 D-ZPO eine Tatbestandsdarstellung und Entscheidungsgründe zu enthalten und ist, sofern das beantragt wird, in dieser Weise auszufertigen und zuzustellen (§ 317 Abs. 2 D-ZPO). c) Bei dieser Sachlage kann nicht davon gesprochen werden, dass das einheimische Rechtsgefühl durch die Vollstreckung des nicht mit einem Tatbestand und Entscheidungsgründen versehenen deutschen Versäumnisurteils in unerträglicher Weise verletzt würde, weil durch dieses Urteil grundlegende Vorschriften der schweizerischen Rechtsordnung missachtet werden. BGE 103 Ia 199 S. 205 Ob und in welcher Weise Verfügungen und Urteile zu begründen sind, bestimmt sich nach schweizerischem Recht vorab aufgrund der massgebenden (kantonalen oder eidgenössischen) Verfahrensvorschriften. Eine Pflicht zur Begründung kann sich darüber hinaus unmittelbar aus Art. 4 BV ergeben ( BGE 101 Ia 48 f.; 98 Ia 464 E. 5a). Unter welchen Umständen dies der Fall ist und welche Erfordernisse sich diesfalls aus der Begründungspflicht ergeben, braucht hier nicht im einzelnen erörtert zu werden. Art. 4 BV will vorab gewährleisten, dass dem Betroffenen die Gründe des gegen ihn ergangenen Entscheids bekannt sind, damit er ihn gegebenenfalls sachgemäss anfechten kann. Zudem soll dadurch, dass die Gründe des Entscheids offengelegt werden müssen, verhindert werden, dass sich die Gerichtsbehörden von unsachlichen Motiven leiten lassen. Daraus folgt, dass mit Art. 4 BV jedenfalls nicht unvereinbar sein kann, wenn ein Versäumnisurteil in Übereinstimmung mit den massgebenden Verfahrensvorschriften ohne Tatbestand und Entscheidungsgründe ausgefertigt wird, jedoch die unterlegene Partei das Verfahren durch einen nicht näher zu begründenden Einspruch ohne weiteres in die ursprüngliche Lage zurückversetzen und ein Urteil erwirken kann, das Tatbestand und Entscheidungsgründe enthält. Im Hinblick auf den dargelegten Schutzzweck verhält es sich nicht wesentlich anders, als wenn in den massgebenden Prozessvorschriften vorgesehen ist, dass ein Urteil nur auf Begehren einer Partei mit Entscheidungsgründen versehen wird (vgl. z.B. § 158 des zürcherischen Gerichtsverfassungsgesetzes vom 13. Juni 1976). Solchen Regelungen, die der Rationalisierung und der Beschleunigung der Rechtspflege dienen, ohne jedoch mit den dargelegten Zielsetzungen unvereinbar zu sein, steht Art. 4 BV nicht entgegen. Nichts anderes folgt ferner aus der Europäischen Menschenrechtskonvention, die als Bestandteil des Bundesrechts zur Bestimmung des schweizerischen ordre public beizuziehen ist (vgl. auch BAUR, Einige Bemerkungen zum verfahrensrechtlichen ordre public, in Festschrift Guldener, S. 18 ff.). Zwar trifft es zu, dass sich nach der Rechtsprechung der Europäischen Kommission eine Begründungspflicht für gerichtliche Urteile aus Art. 6 EMRK ergibt, obwohl in dieser Gewährleistung eine entsprechende Vorschrift nicht ausdrücklich enthalten ist. Diese Pflicht gilt indes nicht unbeschränkt. BGE 103 Ia 199 S. 206 So sind die Gerichte nicht gehalten, sich im Urteil mit sämtlichen Vorbringen der Parteien auseinanderzusetzen. Der Vorschrift ist Genüge getan, wenn sich das Gericht zu den klar vorgebrachten und erheblichen Einwendungen geäussert hat (Requête No 5460/72, Annuaire 1973, S. 169; vgl. auch JACOBS, The European Convention on Human Rights, S. 102 f.). In Bezug auf den Umfang der Begründung darf ferner ohne Verletzung von Art. 6 EMRK berücksichtigt werden, ob das Urteil einem Rechtsmittel unterliege oder nicht. Besteht keine Anfechtungsmöglichkeit, so verletzt das Fehlen von Entscheidungsgründen Art. 6 EMRK nicht (Requête No 1035/61, Annuaire 1963, S. 180; vgl. auch GURADZE, Die Europäische Menschenrechtskonvention, S. 99). Es besteht bei dieser Sachlage kein Grund zur Annahme, dass Art. 6 EMRK die Herstellung und Ausfertigung eines Versäumnisurteils ohne Entscheidungsgründe ausschliessen wolle, wenn es durch eine blosse und nicht näher zu begründende Einsprache beseitigt und in der Folge ein mit Entscheidungsgründen versehenes Urteil erlangt werden kann. Ist das Fehlen von Urteilsgründen in einem Versäumnisurteil unter den dargelegten Umständen weder mit Art. 4 BV noch mit Art. 6 EMRK unvereinbar, so kann von einer Verletzung der einheimischen öffentlichen Ordnung im Falle der Vollstreckung eines derartigen Urteils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