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V 83</w:t>
      </w:r>
    </w:p>
    <w:p>
      <w:r>
        <w:t>Bundesgericht (BGE), 1976-04-30, FR</w:t>
      </w:r>
    </w:p>
    <w:p>
      <w:r>
        <w:rPr>
          <w:b/>
        </w:rPr>
        <w:t xml:space="preserve">Quelle: </w:t>
      </w:r>
      <w:r>
        <w:t>https://mcp.opencaselaw.ch/entscheid/bge_BGE_102_V_83</w:t>
      </w:r>
    </w:p>
    <w:p>
      <w:r>
        <w:t>FR: ATF 102 V 83</w:t>
      </w:r>
    </w:p>
    <w:p>
      <w:r>
        <w:t>IT: DTF 102 V 83</w:t>
      </w:r>
    </w:p>
    <w:p>
      <w:pPr>
        <w:pStyle w:val="Heading2"/>
      </w:pPr>
      <w:r>
        <w:t>Regeste</w:t>
      </w:r>
    </w:p>
    <w:p>
      <w:r>
        <w:t>Regeste Den Schaden, welchen der Versicherte durch Ausfall von Arbeitslosenentschädigungen erleidet, wenn sein Arbeitsvertrag während der Krankheit endet, deckt grundsätzlich die Krankengeldversicherung (Art. 12bis Abs. 1 KUVG).</w:t>
      </w:r>
    </w:p>
    <w:p>
      <w:r>
        <w:t>Regeste L'assurance-maladie couvre en principe aussi, par des indemnités journalières (art. 12bis al. 1 LAMA), le dommage que constitue la perte des indemnités de chômage pour un assuré dont le contrat de travail prend fin durant la maladie.</w:t>
      </w:r>
    </w:p>
    <w:p>
      <w:r>
        <w:t>Regesto L'assicurazione contro le malattie copre di massima, mediante indennità giusta l'art. 12bis cpv. 1 LAMI, anche la perdita di prestazioni assicurative per disoccupazione subita dall'assicurato il cui contratto di lavoro scade durante la malattia.</w:t>
      </w:r>
    </w:p>
    <w:p>
      <w:pPr>
        <w:pStyle w:val="Heading2"/>
      </w:pPr>
      <w:r>
        <w:t>Erwägungen</w:t>
      </w:r>
    </w:p>
    <w:p>
      <w:r>
        <w:rPr>
          <w:b/>
        </w:rPr>
        <w:t>E. 1</w:t>
      </w:r>
    </w:p>
    <w:p>
      <w:r>
        <w:t>Aux termes de l'art. 26 al. 1 LAMA, l'assurance ne doit pas être une source de gain pour les assurés. Aussi l'indemnité journalière prévue par l'art. 12bis de la loi ne peut-elle excéder en principe la perte de gain effectivement subie du fait de la maladie: une personne sans activité lucrative ne recevra que l'indemnité minimale prévue par la loi (2 fr. par jour) ou les statuts, dans la mesure où ces derniers la limitent à une somme symbolique. Selon la jurisprudence, la résiliation du contrat de travail, pendant une période d'incapacité de travail due à la maladie, ne confère pas à l'assuré la qualité de personne sans activité lucrative (RJAM 1972 p. 132, ATFA 1968 p. 167). Le Tribunal fédéral des assurances a en outre précisé que la réduction de l'indemnité journalière au minimum légal n'est possible que s'il est vraisemblable que l'assuré ne reprendra plus aucune activité lucrative (ATFA 1969 p. 127). Selon les arrêts précités, n'est donc pas réputé sans activité lucrative l'assuré dont le contrat de travail prend fin durant la maladie et qui, dans le cours normal des choses, chercherait et trouverait du travail à brève échéance s'il était en bonne santé. Un tel assuré encourt dès lors une perte de salaire, qu'il BGE 102 V 83 S. 86 incombe à l'assurance-maladie d'indemniser. Le principe demeure-t-il valable lorsque l'assuré malade ne serait pas en mesure de trouver dans de brefs délais une nouvelle activité, par exemple en raison de la conjoncture, et qu'il perdrait du fait de la maladie les prestations de l'assurance-chômage? Il paraît indiqué, dans de semblables circonstances, de considérer que les indemnités de l'assurance-chômage se substituent au salaire et, partant, que la maladie occasionne un préjudice qu'il appartient à l'assurance-maladie de réparer dans la mesure où l'assurance souscrite - dont les prestations ne sauraient être réduites - le permet. Cette solution est en accord avec la pratique administrative proposée par l'Office fédéral des assurances sociales dans RJAM 1975 p. 75 ch. 2.</w:t>
      </w:r>
    </w:p>
    <w:p>
      <w:r>
        <w:rPr>
          <w:b/>
        </w:rPr>
        <w:t>E. 2</w:t>
      </w:r>
    </w:p>
    <w:p>
      <w:r>
        <w:t>L'intimé est tombé malade le 28 janvier 1975, son engagement s'est terminé le 31 du même mois, il a recouvré sa capacité de travail le 3 mars et obtenu un emploi dès le 1er avril. Il est fort probable, vu les difficultés de l'industrie horlogère que, s'il était demeuré apte au travail, il n'aurait pas trouvé une place avant le mois d'avril. Néanmoins, on l'a vu, cette période de chômage involontaire relativement courte n'a pas fait de l'assuré une personne sans activité lucrative. Le refus des indemnités de chômage pour la période du 28 janvier au 2 mars 1975 constitue donc une perte que la caisse-maladie doit indemniser en application de ce qui a été dit plus haut. Le jugement cantonal qui reconnaissait à l'intéressé le droit aux indemnités journalières de l'assurance-maladie jusqu'à concurrence des prestations d'assurance-chômage effectivement versées ou théoriquement possibles et qui invitait la caisse-maladie à rendre une nouvelle décision dans ce sens, ne prête par conséquent pas le flanc à la critique; aussi doit-il être confirmé...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