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59</w:t>
      </w:r>
    </w:p>
    <w:p>
      <w:r>
        <w:t>Bundesgericht (BGE), 1976-02-06, DE</w:t>
      </w:r>
    </w:p>
    <w:p>
      <w:r>
        <w:rPr>
          <w:b/>
        </w:rPr>
        <w:t xml:space="preserve">Quelle: </w:t>
      </w:r>
      <w:r>
        <w:t>https://mcp.opencaselaw.ch/entscheid/bge_BGE_102_V_59</w:t>
      </w:r>
    </w:p>
    <w:p>
      <w:r>
        <w:t>FR: ATF 102 V 59</w:t>
      </w:r>
    </w:p>
    <w:p>
      <w:r>
        <w:t>IT: DTF 102 V 59</w:t>
      </w:r>
    </w:p>
    <w:p>
      <w:pPr>
        <w:pStyle w:val="Heading2"/>
      </w:pPr>
      <w:r>
        <w:t>Regeste</w:t>
      </w:r>
    </w:p>
    <w:p>
      <w:r>
        <w:t>Regeste Kreis der unterstellten Betriebe und der zum Bezug von Familienzulagen berechtigten Personen (Art. 1 Abs. 1 FLG, Art. 1 Abs. 1 und Art. 7 Abs. 2 lit. a FLV). Gehören dazu auch eine Aktiengesellschaft, welche landwirtschaftliche Güter produziert und vertreibt sowie mit Grundstücken handeln kann (sog. gemischter Betrieb), und deren einziges Verwaltungsratsmitglied?</w:t>
      </w:r>
    </w:p>
    <w:p>
      <w:r>
        <w:t>Regeste Cercle des exploitations soumises à la loi ainsi que des allocataires (art. 1 al. 1 LFA, art. 1 al. 1 et art. 7 al. 2 lit. a RFA). Statut de la société anonyme qui produit et écoule des biens agricoles et peut faire le commerce d'immeubles ("entreprise mixte"), d'une part, et de son administrateur unique, d'autre part.</w:t>
      </w:r>
    </w:p>
    <w:p>
      <w:r>
        <w:t>Regesto Novero delle aziende assoggettate e delle persone aventi diritto agli assegni familiari (art. 1 cpv. 1 LFA, art. 1 cpv. 1 e art. 7 cpv. 2 lit. a RFA). Ne fanno parte anche una società anonima che produce e spaccia merci agricole e può commerciare beni immobili ("impresa mista"), nonché il suo amministratore unico?</w:t>
      </w:r>
    </w:p>
    <w:p>
      <w:pPr>
        <w:pStyle w:val="Heading2"/>
      </w:pPr>
      <w:r>
        <w:t>Erwägungen</w:t>
      </w:r>
    </w:p>
    <w:p>
      <w:r>
        <w:rPr>
          <w:b/>
        </w:rPr>
        <w:t>E. 1</w:t>
      </w:r>
    </w:p>
    <w:p>
      <w:r>
        <w:t>Anspruch auf Familienzulagen für landwirtschaftliche Arbeitnehmer haben Personen, die in einem landwirtschaftlichen Betrieb gegen Entgelt in unselbständiger Stellung tätig sind ( Art. 1 Abs. 1 FLG ). a) Als landwirtschaftliche Betriebe, auf die das Bundesgesetz Anwendung findet, gelten sämtliche Betriebe, die dem Anbau landwirtschaftlicher Nutzpflanzen, dem Obst-, Wein- und Gemüsebau, der Viehhaltung und Viehzucht, der Geflügel- und Bienenzucht dienen ( Art. 7 Abs. 1 FLV ). Nicht anwendbar ist das Bundesgesetz u.a. auf Landwirtschaftsbetriebe, die in enger betrieblicher Verbindung mit gewerblichen oder industriellen Betrieben stehen, sofern der nichtlandwirtschaftliche Betrieb den Hauptbetrieb darstellt ( Art. 7 Abs. 2 lit. a FLV ). b) In bezug auf den unterstellten Personenkreis und damit auf den Begriff des landwirtschaftlichen Arbeitnehmers kommt es - im Gegensatz zur frühern Regelung, welche auf die Art der Arbeit abstellte - nach Art. 1 Abs. 1 FLG in der Fassung gemäss Abänderungsgesetz vom 14. Dezember 1973, in Kraft seit 1. April 1974, nur noch auf die Qualifikation des Betriebes an, in welchem die Tätigkeit verrichtet wird. Zweck der BGE 102 V 59 S. 62 Gesetzesänderung war die Beseitigung der Schwierigkeiten, denen man früher bei der Ausscheidung der nichtlandwirtschaftlichen Arbeitnehmer (z.B. Hilfspersonal der Verwaltung) vor allem in Verwalterbetrieben und in landwirtschaftlichen Grossbetrieben begegnete (vgl. Botschaft des Bundesrates vom 16. Mai 1973, BBl 1973 I 1429). Hingegen stellt der auf der Ermächtigungsnorm von Art. 1 Abs. 4 FLG beruhende Art. 1 Abs. 1 FLV bei Arbeitnehmern, die in landwirtschaftlichen und in nichtlandwirtschaftlichen Betrieben desselben Arbeitgebers tätig sind, auf die Art der Arbeit ab; diese muss dann vorwiegend landwirtschaftlichen Charakter besitzen. Als landwirtschaftliche Tätigkeit im Sinne dieser Bestimmung gilt auch die üblicherweise in einem landwirtschaftlichen Betrieb bzw. Betriebsteil anfallende kaufmännische und administrative Arbeit.</w:t>
      </w:r>
    </w:p>
    <w:p>
      <w:r>
        <w:rPr>
          <w:b/>
        </w:rPr>
        <w:t>E. 2</w:t>
      </w:r>
    </w:p>
    <w:p>
      <w:r>
        <w:t>a) Insoweit die Adolf Forster AG gemäss Handelsregistereintrag die Produktion von landwirtschaftlichen Gütern, insbesondere den Betrieb von Geflügelfarmen bezweckt, handelt es sich bei ihr um einen landwirtschaftlichen Betrieb im Sinne des FLG. Als Gesellschaftszweck ist indessen auch der Handel mit landwirtschaftlichen Erzeugnissen aufgeführt. Diese Umschreibung weist nicht bloss auf den Verkauf der eigenen Produkte hin - was im Regelfall noch in den Tätigkeitsbereich eines landwirtschaftlichen Betriebes fällt -, sondern ebenfalls auf den gewerbsmässigen An- und Verkauf nicht selber erzeugter Güter. Schliesslich kann die Gesellschaft laut Handelsregister Grundstücke erwerben, verwalten und veräussern. Auch diese Umschreibung des Gesellschaftszweckes lässt gewerbsmässiges Handeln im Grundstücksektor zumindest als möglich erscheinen. Es ergibt sich somit, dass die Adolf Forster AG - nach dem Handelsregistereintrag zu schliessen - nicht ausschliesslich eine landwirtschaftliche Tätigkeit bezweckt. Demgegenüber macht der Beschwerdeführer geltend, es handle sich bei der Gesellschaft um einen landwirtschaftlichen Betrieb, da sich die Handelstätigkeit auf den Verkauf ihrer Produkte an die Fimola AG beschränke und Grundstückgeschäfte nur im Hinblick auf den Betrieb der Geflügelfarmen abgeschlossen würden. Unter Berücksichtigung von Art. 7 Abs. 2 lit. a FLV kann im vorliegenden Fall die Frage offen bleiben, ob bei der Überprüfung BGE 102 V 59 S. 63 der Unterstellung eines Betriebes unter das FLG auf den Handelsregistereintrag oder auf die tatsächlichen wirtschaftlichen Verhältnisse abzustellen ist. Das Gesetz wäre nämlich selbst dann auf den landwirtschaftlichen Betriebsteil (Hühnerfarmen) anzuwenden, wenn vom Gesamtbetrieb her gesehen die nichtlandwirtschaftliche Tätigkeit (Handel mit landwirtschaftlichen Gütern, eventuell mit Grundstücken) im Vordergrund stünde, weil unter den gegebenen Umständen von einer engen betrieblichen Verbindung des landwirtschaftlichen mit dem nichtlandwirtschaftlichen Betriebsteil im Sinne von Art. 7 Abs. 2 lit. a FLV nicht gesprochen werden könnte (vgl. Rz. 77 f. der Erläuterungen des Bundesamtes für Sozialversicherung in der Textausgabe zum FLG, gültig ab 1. April 1974). b) Auf Grund der Akten lässt sich die Frage nicht beantworten, ob der Beschwerdeführer in seiner Eigenschaft als einziges Verwaltungsratsmitglied und Geschäftsführer der Adolf Forster AG vorwiegend landwirtschaftliche Arbeiten verrichtet und demnach als landwirtschaftlicher Arbeitnehmer zu qualifizieren ist oder nicht. Der Handelsregistereintrag gibt hierüber keinen Aufschluss, da die Gesellschaftszwecke der landwirtschaftlichen (Hühnerfarmen) und der nichtlandwirtschaftlichen Tätigkeit (Handel mit landwirtschaftlichen Gütern, eventuell mit Grundstücken) gleichwertig nebeneinander figurieren. Selbst wenn aber der nichtlandwirtschaftliche Bereich tatsächlich den Hauptzweck der Gesellschaft darstellen sollte, wäre damit nicht ohne weiteres erwiesen, dass der Beschwerdeführer seine Arbeit effektiv vorwiegend in diesem und nicht im landwirtschaftlichen Sektor erbringt. Schliesslich lässt auch die Höhe des Lohnes keinen eindeutigen Schluss auf die Art seiner Tätigkeit zu. Die Behauptung, Paul Helfenstein verrichte fast ausschliesslich landwirtschaftliche Arbeiten, bedarf daher der näheren Abklärung durch die Ausgleichskasse.</w:t>
      </w:r>
    </w:p>
    <w:p>
      <w:r>
        <w:rPr>
          <w:b/>
        </w:rPr>
        <w:t>E. 3</w:t>
      </w:r>
    </w:p>
    <w:p>
      <w:r>
        <w:t>Die Ausgleichskasse des Kantons Thurgau hat ihre Verfügung vom 21. April 1975 mit dem Hinweis auf Rz. 5 der Erläuterungen des Bundesamtes für Sozialversicherung begründet. Danach gelten auf dem Gebiet des FLG die Bewirtschafter von landwirtschaftlichen Betrieben, die unter der Rechtsform einer Aktiengesellschaft geführt werden, nicht als Arbeitnehmer, wenn sie mit den Aktionären zur Hauptsache BGE 102 V 59 S. 64 identisch sind (vgl. ZAK 1963 S. 45). Demgegenüber erachtete es die Vorinstanz als glaubhaft, dass der Beschwerdeführer bei der Adolf Forster AG und der Fimola AG nur je eine Pflichtaktie besitze, weshalb er nicht mit den beiden Gesellschaften identifiziert werden könne. Sollten diesbezüglich weiterhin Zweifel bestehen, könnte auch diese Frage in die angeordnete Abklärung einbezogen werden. Dispositiv Demnach erkennt das Eidg. Versicherungsgericht: Die Verwaltungsgerichtsbeschwerde wird in dem Sinne gutgeheissen, dass der Entscheid der Rekurskommission des Kantons Thurgau für die AHV vom 20. Juni 1975 und die angefochtene Verfügung der Ausgleichskasse des Kantons Thurgau vom 21. April 1975 aufgehoben werden und die Sache zwecks weiterer Abklärung im Sinne der Erwägungen und neuer Verfügung an die Ausgleichskasse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