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148</w:t>
      </w:r>
    </w:p>
    <w:p>
      <w:r>
        <w:t>Bundesgericht (BGE), 1976-09-16, DE</w:t>
      </w:r>
    </w:p>
    <w:p>
      <w:r>
        <w:rPr>
          <w:b/>
        </w:rPr>
        <w:t xml:space="preserve">Quelle: </w:t>
      </w:r>
      <w:r>
        <w:t>https://mcp.opencaselaw.ch/entscheid/bge_BGE_102_V_148</w:t>
      </w:r>
    </w:p>
    <w:p>
      <w:r>
        <w:t>FR: ATF 102 V 148</w:t>
      </w:r>
    </w:p>
    <w:p>
      <w:r>
        <w:t>IT: DTF 102 V 148</w:t>
      </w:r>
    </w:p>
    <w:p>
      <w:pPr>
        <w:pStyle w:val="Heading2"/>
      </w:pPr>
      <w:r>
        <w:t>Regeste</w:t>
      </w:r>
    </w:p>
    <w:p>
      <w:r>
        <w:t>Regeste Gegenstand und Zulässigkeit der Verfügung (Art. 5 VwVG), insbesondere der Feststellungsverfügung (Art. 25 VwVG). Feststellungsverfügung über das Beitragsstatut (Art. 128 AHVV).</w:t>
      </w:r>
    </w:p>
    <w:p>
      <w:r>
        <w:t>Regeste Objet et licéité de la décision (art. 5 LPA), en particulier de la décision de constatation (art. 25 LPA). Décision fixant le statut du cotisant (art. 128 RAVS).</w:t>
      </w:r>
    </w:p>
    <w:p>
      <w:r>
        <w:t>Regesto Oggetto e liceità della decisione (art. 5 PAF), particolarmente della decisione d'accertamento (art. 25 PAF). Decisione fissante lo statuto del contribuente (art. 128 OAVS).</w:t>
      </w:r>
    </w:p>
    <w:p>
      <w:pPr>
        <w:pStyle w:val="Heading2"/>
      </w:pPr>
      <w:r>
        <w:t>Erwägungen</w:t>
      </w:r>
    </w:p>
    <w:p>
      <w:r>
        <w:rPr>
          <w:b/>
        </w:rPr>
        <w:t>E. 1</w:t>
      </w:r>
    </w:p>
    <w:p>
      <w:r>
        <w:t>Das Eidg. Versicherungsgericht beurteilt letztinstanzlich Verwaltungsgerichtsbeschwerden gegen Verfügungen im Sinne von Art. 5 des VwVG auf dem Gebiet der Sozialversicherung (Art. 97 Abs. 1 in Verbindung mit Art. 128 OG ). Nach Art. 98 lit. g OG ist die Verwaltungsgerichtsbeschwerde zulässig gegen Verfügungen letzter Instanzen der Kantone, soweit nicht das Bundesrecht gegen die Verfügungen zunächst die Beschwerde an eine Vorinstanz gemäss Art. 98 lit. b-f OG vorsieht. Die kantonale Rekurskommission, deren Entscheid im vorliegenden Verfahren angefochten wird, ist letzte kantonale Instanz im Sinne dieser Bestimmung. Zu prüfen bleibt, ob es sich bei deren Entscheid um eine den Anforderungen der Art. 97 Abs. 1 OG bzw. Art. 5 VwVG entsprechende Verfügung handelt. Gemäss Art. 5 Abs. 1 VwVG gelten als Verfügungen "Anordnungen der Behörden im Einzelfall", die sich auf öffentliches Recht des Bundes stützen und zum Gegenstand haben die "Begründung, Änderung oder Aufhebung von Rechten oder Pflichten" (lit. a) sowie die "Feststellung des Bestehens, Nichtbestehens oder Umfanges von Rechten oder Pflichten" BGE 102 V 148 S. 150 (lit. b). Ferner ist Art. 25 VwVG zu beachten, dessen Abs. 1 als Gegenstand der Feststellungsverfügung ebenfalls "den Bestand, den Nichtbestand oder den Umfang öffentlichrechtlicher Rechte oder Pflichten" bezeichnet. Unter Rechten und Pflichten der zitierten Bestimmungen sind konkrete und individualisierte oder mindestens eindeutig und zweifelsfrei bestimmbare Rechte und Pflichten zu verstehen. Rechtsverhältnisse, welche für den Einzelfall verschiedene Lösungsmöglichkeiten offen lassen, fallen nicht darunter. Dementsprechend regelt die Verfügung "ein konkretes und individuelles Rechtsverhältnis des Verwaltungsrechtes durch einseitigen hoheitlichen Akt in verbindlicher Weise" (GYGI, Verwaltungsrechtspflege und Verwaltungsverfahren im Bund, 2. Aufl., S. 97; BGE 98 Ib 463 ). Ordnen die Art. 5 Abs. 1 und Art. 25 Abs. 1 VwVG die Anforderungen, die ein Verwaltungsakt zu erfüllen hat, um als Verfügung zu gelten, so nennt Art. 25 Abs. 2 VwVG die grundsätzliche Voraussetzung, unter der einem Begehren um Erlass einer Feststellungsverfügung entsprochen werden darf. Nach der zitierten Bestimmung ist die Feststellungsverfügung zulässig, wenn der Gesuchsteller ein schutzwürdiges Interesse nachweist. Das bedeutet, dass der Anspruch auf Erlass einer Feststellungsverfügung nur dann gegeben ist, wenn der Gesuchsteller ein rechtliches und aktuelles Interesse an der sofortigen Feststellung seines Rechtes hat ( BGE 100 Ib 327 ; GYGI S. 67).</w:t>
      </w:r>
    </w:p>
    <w:p>
      <w:r>
        <w:rPr>
          <w:b/>
        </w:rPr>
        <w:t>E. 2</w:t>
      </w:r>
    </w:p>
    <w:p>
      <w:r>
        <w:t>Mangels genügender Individualisierung und Konkretisierung des Streitgegenstandes kann beim angefochtenen Entscheid der kantonalen Rekurskommission nicht von "Begründung" oder "Feststellung des Bestehens ... von Rechten oder Pflichten" die Rede sein. Zwar nennt die Vorinstanz gewisse rechtliche Kriterien, die in Fällen der vorliegenden Art für die beitragsrechtliche Abgrenzung der selbständigen von der unselbständigen Erwerbstätigkeit massgebend sind. Dadurch werden aber konkrete Rechte oder Pflichten weder begründet noch festgestellt. Dem kann nicht entgegengehalten werden, der angefochtene Entscheid umfasse einfach alle jene Personen, die durch einen bestimmten "Rahmenvertrag" erfasst würden, der von der Beschwerdegegnerin als Werkvertrag bezeichnet wird. Im Einzelfall, welcher durch die Verfügung unmissverständlich und verbindlich BGE 102 V 148 S. 151 geregelt werden soll, wäre die Frage dann immer noch offen, ob dieser Vertrag das konkrete Arbeitsverhältnis auch wirklich vollumfänglich ordnet und seinem Wortlaut entsprechend gehandhabt wird. Jedenfalls müsste dies im Falle einer nachträglichen Veranlagungsverfügung bezüglich jedes einzelnen Mitarbeiters geprüft werden. Dazu kommt, dass die obligationenrechtliche Regelung des Arbeitsverhältnisses an sich überhaupt nicht entscheidend ist für die beitragsrechtliche Qualifikation der Mitarbeiter der Beschwerdegegnerin. Ferner ist zu beachten, dass die Frage des Beitragsstatuts der sogenannten freien Mitarbeiter in besonderem Mass Komplikationen in sich schliesst, weil es sich bei diesen Mitarbeitern um ausländische Staatsangehörige und ausserdem teils um juristische und nicht bloss um natürliche Personen, teils um solche Personen handelt, welche entweder die Arbeit allein oder aber mit eigenen Angestellten ausführen, wie in der Vernehmlassung der Beschwerdegegnerin zur Verwaltungsgerichtsbeschwerde dargelegt wird. Umso weniger kann unter derart differierenden Voraussetzungen die von der Vorinstanz getroffene generelle Beurteilung des Beitragsstatus als ausreichende Individualisierung und Konkretisierung betrachtet werden. Ergibt sich somit, dass der Entscheid der Rekurskommission keine Verfügung im Sinn von Art. 5 Abs. 1 lit. a oder b VwVG darstellt, so braucht nicht noch geprüft zu werden, ob ein schutzwürdiges Interesse an jenem Entscheid bestand und demnach der Erlass einer blossen Feststellungsverfügung überhaupt zulässig war.</w:t>
      </w:r>
    </w:p>
    <w:p>
      <w:r>
        <w:rPr>
          <w:b/>
        </w:rPr>
        <w:t>E. 3</w:t>
      </w:r>
    </w:p>
    <w:p>
      <w:r>
        <w:t>Die Frage, ob ein konkreter hoheitlicher Akt die gesetzlichen Anforderungen einer Feststellungsverfügung erfüllt, stellt sich nicht nur für den Entscheid der kantonalen Rekurskommission, sondern in vermehrtem Masse noch für den dem Beschwerdeentscheid vorangehenden Verwaltungsakt der Ausgleichskasse, obschon Art. 5 Abs. 1 lit. a und b VwVG auf die Ausgleichskassen nicht direkt anwendbar ist. Es würde zu unhaltbaren Konsequenzen führen, wenn für die anfechtbaren Feststellungsverfügungen der Ausgleichskasse andere Voraussetzungen gelten würden als für jene der letzten kantonalen Instanz. Wären an die Kassenverfügung und an den letztinstanzlichen kantonalen Entscheid nicht dieselben Anforderungen zu stellen, so wäre es möglich, dass eine Kassenverfügung BGE 102 V 148 S. 152 zwar durch den kantonalen Richter überprüft und gegebenenfalls bestätigt würde, worauf dann der letztinstanzliche kantonale Entscheid in Ermangelung der erwähnten Voraussetzungen als unzulässig bzw. als dem VwVG nicht konform erklärt werden müsste. Daher rechtfertigt es sich, den Begriff der beschwerdefähigen Kassenverfügung in Analogie zu Art. 5 VwVG zu bestimmen.</w:t>
      </w:r>
    </w:p>
    <w:p>
      <w:r>
        <w:rPr>
          <w:b/>
        </w:rPr>
        <w:t>E. 4</w:t>
      </w:r>
    </w:p>
    <w:p>
      <w:r>
        <w:t>Nach der Rechtsprechung hat der Richter Anordnungen ohne Verfügungscharakter nicht zu überprüfen. Wird ihm dennoch ein solcher hoheitlicher Akt unterbreitet, so hat er das Rechtsmittel von der Hand zu weisen (EVGE 1968 S. 224). Somit hätte die Rekurskommission auf die Beschwerde der Triplan Ingenieur AG gegen den Verwaltungsakt der Ausgleichskasse Basel-Stadt vom 28. April 1975 nicht eintreten dürfen. Und da auch der Rekursentscheid vom 3. Oktober 1975 keine beschwerdefähige Verfügung darstellt, muss die dagegen eingereichte Verwaltungsgerichtsbeschwerde ebenfalls durch Nichteintreten erledigt werden. Dispositiv Demnach erkennt das Eidg. Versicherungsgericht: Auf die Verwaltungsgerichtsbeschwerde wird nicht eingetreten mit der Feststellung, dass weder der angefochtene Entscheid der Rekurskommission für die Ausgleichskassen vom 3. Oktober 1975 noch der Verwaltungsakt der Ausgleichskasse vom 28. April 1975 beschwerdefähige Feststellungsverfügungen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