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90</w:t>
      </w:r>
    </w:p>
    <w:p>
      <w:r>
        <w:t>Bundesgericht (BGE), 1976-01-01, FR</w:t>
      </w:r>
    </w:p>
    <w:p>
      <w:r>
        <w:rPr>
          <w:b/>
        </w:rPr>
        <w:t xml:space="preserve">Quelle: </w:t>
      </w:r>
      <w:r>
        <w:t>https://mcp.opencaselaw.ch/entscheid/bge_BGE_102_IV_90</w:t>
      </w:r>
    </w:p>
    <w:p>
      <w:r>
        <w:t>FR: ATF 102 IV 90</w:t>
      </w:r>
    </w:p>
    <w:p>
      <w:r>
        <w:t>IT: DTF 102 IV 90</w:t>
      </w:r>
    </w:p>
    <w:p>
      <w:pPr>
        <w:pStyle w:val="Heading2"/>
      </w:pPr>
      <w:r>
        <w:t>Regeste</w:t>
      </w:r>
    </w:p>
    <w:p>
      <w:r>
        <w:t>Regeste Art. 159 StGB. Begriff des Geschäftsführers. Die dem Geschäftsführer eigene Befugnis zur selbständigen Verfügung über fremdes Vermögen umschliesst nicht nur die rechtliche Fürsorgepflicht für dieses Vermögen, sondern auch allgemeine Sorgfaltspflichten zu dessen Erhaltung.</w:t>
      </w:r>
    </w:p>
    <w:p>
      <w:r>
        <w:t>Regeste Art. 159 CP. Définition du gérant. Le pouvoir de disposition autonome sur les biens confiés, qui caractérise le gérant, ne porte pas seulement sur la maîtrise juridique de ces biens, mais aussi sur les soins qu'il convient de leur apporter.</w:t>
      </w:r>
    </w:p>
    <w:p>
      <w:r>
        <w:t>Regesto Art. 159 CP. Nozione di amministratore. Il potere di disposizione autonomo sui beni affidati, che caratterizza l'amministratore, non comprende soltanto la disponibilità giuridica di tali beni, ma anche gli obblighi di diligenza necessari per la loro conservazione.</w:t>
      </w:r>
    </w:p>
    <w:p>
      <w:pPr>
        <w:pStyle w:val="Heading2"/>
      </w:pPr>
      <w:r>
        <w:t>Erwägungen</w:t>
      </w:r>
    </w:p>
    <w:p>
      <w:r>
        <w:rPr>
          <w:b/>
        </w:rPr>
        <w:t>E. 1</w:t>
      </w:r>
    </w:p>
    <w:p>
      <w:r>
        <w:t>a) Le recourant fait valoir à titre principal qu'il a été condamné à tort pour gestion déloyale, car il n'occupait pas selon lui la position d'un gérant. b) L'art. 159 CP ne sanctionne pas n'importe quelle obligation de diligence relative à tout ou partie d'un patrimoine étranger, mais seulement celle qui est attachée à une gestion (Geschäftsführung). Il ne suffit ainsi pas que l'auteur ait eu l'obligation contractuelle ou légale de veiller sur le patrimoine d'autrui, il faut encore qu'il ait eu la position d'un gérant (RO 81 IV 279, 100 IV 36 consid. 2). Les termes "veiller sur", employés à l'art. 159 CP, n'ont pas d'autre sens ni un sens moins étendu que le terme "gérer" (RO 80 IV 246). Seul peut avoir la position d'un gérant celui qui dispose d'une indépendance suffisante et qui jouit d'un pouvoir de disposition autonome sur les biens qui lui sont remis (RO 95 IV 66, 100 IV 172 consid. 3a, 101 IV 167 No 42; SCHWANDER, p. 363, No 582; PH. GRAVEN, FJS 1035 p. 2/3). BGE 102 IV 90 S. 93 C'est cette autonomie qui symbolise la confiance particulière accordée au gérant (PH. GRAVEN op.cit.). Il serait cependant erroné de ne considérer que l'autonomie de l'auteur à l'égard de la maîtrise juridique du bien confié. Elle peut en effet tout aussi bien se manifester dans les soins que le gérant doit apporter matériellement à ce bien, pour en assurer l'existence, voire seulement l'intégralité, à la condition qu'il s'agisse véritablement d'une prise en charge du bien pour le compte d'autrui et non d'un simple entretien ou de l'exécution d'un travail subordonné (cf. STRATENWERTH, p. 258; SCHWANDER, Nos 582 et 582a). c) In casu, il ressort de l'arrêt attaqué que le recourant devait confectionner les fromages et les amener à maturité en effectuant un travail soutenu de plusieurs semaines, dont il avait seul la responsabilité. L'indépendance dont il jouissait dans cette activité lui conférait, quant à ces fromages et à l'égard de ses employeurs, une autonomie suffisante pour qu'il soit qualifié de gérant, même si, du point de vue économique, la commercialisation et la répartition des marchandises relevaient de la seule compétence de la Société de laiterie. A cela s'ajoutent d'autres circonstances que relève également l'autorité cantonale: le recourant avait la maîtrise des locaux de fabrication et des caves; il était libre dans l'organisation de son travail et dans l'engagement d'un aide, à ses frais; il avait la responsabilité de comptabiliser les produits et les livraisons. Même si ces éléments pris isolément ne suffisent pas à justifier la qualification de gérant, s'agissant du recourant, elles soulignent encore l'indépendance qui lui était laissée et l'autonomie dont il disposait dans l'exercice de son travail, que ce soit en vertu du contrat passé avec la Société de laiterie, mais également en fait. Il s'ensuit que le Tribunal cantonal n'a pas violé l'art. 159 CP en affirmant que le recourant avait la position d'un gérant.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