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253</w:t>
      </w:r>
    </w:p>
    <w:p>
      <w:r>
        <w:t>Bundesgericht (BGE), 1976-01-01, DE</w:t>
      </w:r>
    </w:p>
    <w:p>
      <w:r>
        <w:rPr>
          <w:b/>
        </w:rPr>
        <w:t xml:space="preserve">Quelle: </w:t>
      </w:r>
      <w:r>
        <w:t>https://mcp.opencaselaw.ch/entscheid/bge_BGE_102_IV_253</w:t>
      </w:r>
    </w:p>
    <w:p>
      <w:r>
        <w:t>FR: ATF 102 IV 253</w:t>
      </w:r>
    </w:p>
    <w:p>
      <w:r>
        <w:t>IT: DTF 102 IV 253</w:t>
      </w:r>
    </w:p>
    <w:p>
      <w:pPr>
        <w:pStyle w:val="Heading2"/>
      </w:pPr>
      <w:r>
        <w:t>Regeste</w:t>
      </w:r>
    </w:p>
    <w:p>
      <w:r>
        <w:t>Regeste Art. 27 Abs. 1 SVG. Als polizeiliche Weisungen im Sinne dieser Bestimmung gelten alle Anordnungen, für welche sich die Polizei auf ihren Generalauftrag, für Ordnung und Sicherheit im Strassenverkehr zu sorgen, berufen kann.</w:t>
      </w:r>
    </w:p>
    <w:p>
      <w:r>
        <w:t>Regeste Art. 27 al. 1 LCR. Sont considérés comme "ordre de la police" au sens de cette disposition, tous ceux pour lesquels la police peut se réclamer de son devoir général d'assurer l'ordre et la sécurité de la circulation publique.</w:t>
      </w:r>
    </w:p>
    <w:p>
      <w:r>
        <w:t>Regesto Art. 27 cpv. 1 LCS. "Istruzioni della polizia" ai sensi di questa disposizione sono tutti gli ordini che la polizia può impartire valendosi del suo compito generale di assicurare l'ordine e la sicurezza nella circolazione stradale.</w:t>
      </w:r>
    </w:p>
    <w:p>
      <w:pPr>
        <w:pStyle w:val="Heading2"/>
      </w:pPr>
      <w:r>
        <w:t>Erwägungen</w:t>
      </w:r>
    </w:p>
    <w:p>
      <w:r>
        <w:rPr>
          <w:b/>
        </w:rPr>
        <w:t>E. 3</w:t>
      </w:r>
    </w:p>
    <w:p>
      <w:r>
        <w:t>a) Der Beschwerdeführer macht geltend, die Aufforderung, den Gesellschaftswagen auf den Ausstellplatz zu fahren, um eine Kontrolle zu ermöglichen, stelle inhaltlich keine Weisung gemäss Art. 27 Abs. 1 SVG dar. Weisungen im Sinne dieser Bestimmung seien technische Mittel zur Führung des Verkehrs und erforderten für ihre Verbindlichkeit die Übereinstimmung mit der V über die Strassensignalisation. Wo es sich nicht um eine Anordnung oder Hilfeleistung mit dem Zweck handle, eine für die Strassenbenützer verbindliche Verkehrsregelung vorzunehmen, liege keine solche Weisung vor. b) Gemäss Art. 27 Abs. 1 SVG sind Signale und Markierungen sowie die Weisungen der Polizei zu befolgen. Als Weisung im Sinne dieser Bestimmung gilt die von einem Polizeiorgan im konkreten Einzelfall an eine bestimmte Person gerichtete Anordnung (STREBEL, N. 3 zu Art. 18 MFG). Ob eine solche Anordnung, um gemäss Art. 27 Abs. 1 SVG beachtlich zu sein, einen beliebigen Inhalt aufweisen könne BGE 102 IV 253 S. 255 oder ob nach dieser Richtung eine Einschränkung erfolgen müsse, ist der Bestimmung nicht zu entnehmen. Aus der Gleichstellung der polizeilichen Weisungen mit den Signalen und Markierungen hinsichtlich der Pflicht zu ihrer Beachtung durch alle Strassenbenützer ist hiefür nichts zu folgern. Insbesondere ergibt sich daraus nicht, es seien nur jene polizeilichen Weisungen zu beachten, die wie Signale und Markierungen die Verkehrslenkung zum Gegenstand haben. Was der Beschwerdeführer in diesem Punkt als Zitat aus STREBEL (Strassenverkehrsgesetz, S. 53) vorträgt, bezieht sich, wie das dort klar hervorgehoben wird, ausschliesslich auf Signale und Markierungen, nicht auf Weisungen. Grundsätzlich könnte der Bundesrat für einen in einem Bundesgesetz verwendeten Begriff eine Legaldefinition geben (FLEINER/GIACOMETTI, Bundesstaatsrecht, S. 804). Allein das tat er in bezug auf die in Frage stehenden Weisungen nicht. Der Beschwerdeführer verkennt, dass im Interesse der Verkehrssicherheit ein erhebliches Bedürfnis besteht, auch andere als unmittelbar der Verkehrsregelung dienende polizeiliche Anordnungen verbindlich zu erklären, so beispielsweise jene, eine Ladung zu verringern oder besser zu sichern, eine verschmutzte Windschutzscheibe zu reinigen usw. So werden denn als gemäss Art. 27 Abs. 1 SVG zu beachtende polizeiliche Weisungen allgemein betrachtet "mündliche Weisungen unmittelbar im Verkehr" (Botschaft des Bundesrates zum Entwurf eines BG über den Strassenverkehr, BBl 1955, II, S. 30), alle zur Gewährleistung der Sicherheit und Flüssigkeit des Verkehrs sowie der Beachtung der Verkehrsregeln durch die Strassenbenützer dienenden Anordnungen (BUSSY/RUSCONI, N. 2.2. zu Art. 27 SVG ), oder schliesslich alle Anordnungen, für welche sich die Polizei auf ihren Generalauftrag, für Ordnung und Sicherheit - und was auf Grund der gegebenen Beispiele einschränkend beizufügen ist - im Strassenverkehr zu sorgen, berufen kann (STREBEL, a.a.O., S. 54). c) Der Beschwerdeführer wurde von Landjäger Z. aufgefordert, den von ihm geführten Gesellschaftswagen von der Fahrbahn, wo er angehalten worden war, auf den Ausstellplatz zu fahren, damit die Ausweise kontrolliert werden könnten. Diese Anordnung erfolgte unmittelbar im Verkehr, mit direktem Bezug auf diesen und insbesondere im Blick auf die Vorschrift des Art. 18 Abs. 1 VRV , wonach Fahrzeuge nach BGE 102 IV 253 S. 256 Möglichkeit ausserhalb der Strasse anzuhalten sind. Die Vorinstanz verletzte unter diesen Umständen nicht Bundesrecht, wenn sie annahm, es habe sich bei der von Landjäger Z. getroffenen Anordnung um eine Weisung im Sinne von Art. 27 Abs. 1 SVG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