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248</w:t>
      </w:r>
    </w:p>
    <w:p>
      <w:r>
        <w:t>Bundesgericht (BGE), 1976-01-01, DE</w:t>
      </w:r>
    </w:p>
    <w:p>
      <w:r>
        <w:rPr>
          <w:b/>
        </w:rPr>
        <w:t xml:space="preserve">Quelle: </w:t>
      </w:r>
      <w:r>
        <w:t>https://mcp.opencaselaw.ch/entscheid/bge_BGE_102_IV_248</w:t>
      </w:r>
    </w:p>
    <w:p>
      <w:r>
        <w:t>FR: ATF 102 IV 248</w:t>
      </w:r>
    </w:p>
    <w:p>
      <w:r>
        <w:t>IT: DTF 102 IV 248</w:t>
      </w:r>
    </w:p>
    <w:p>
      <w:pPr>
        <w:pStyle w:val="Heading2"/>
      </w:pPr>
      <w:r>
        <w:t>Regeste</w:t>
      </w:r>
    </w:p>
    <w:p>
      <w:r>
        <w:t>Regeste Art. 169 StGB. Verfügung über gepfändeten Lohn. Ein während der Dauer der Lohnpfändung im Vergleich zum Existenzminimum eingetretener Mindererwerb ist auch dann mit einem Mehrerlös auszugleichen, wenn das unterschiedliche Einkommen auf einen Wechsel von der selbständigen zur unselbständigen Erwerbstätigkeit zurückzuführen ist.</w:t>
      </w:r>
    </w:p>
    <w:p>
      <w:r>
        <w:t>Regeste Art. 169 CP. Détournement de salaire saisi. Lorsque durant une saisie de salaire, le gain du débiteur tombe au-dessous du minimum vital avant de lui être supérieur, il faut opérer une compensation, même si la différence de revenu trouve sa source dans un changement d'activité, qui d'indépendante devient dépendante.</w:t>
      </w:r>
    </w:p>
    <w:p>
      <w:r>
        <w:t>Regesto Art. 169 CP. Distrazione di salario pignorato. Allorquando, durante un pignoramento di salario, il reddito del debitore scenda sotto il minimo vitale prima di superare quest'ultimo, una compensazione deve essere operata anche se la differenza di reddito deriva da un cambio d'attività, divenuta, da indipendente, dipendente.</w:t>
      </w:r>
    </w:p>
    <w:p>
      <w:pPr>
        <w:pStyle w:val="Heading2"/>
      </w:pPr>
      <w:r>
        <w:t>Erwägungen</w:t>
      </w:r>
    </w:p>
    <w:p>
      <w:r>
        <w:rPr>
          <w:b/>
        </w:rPr>
        <w:t>E. 2</w:t>
      </w:r>
    </w:p>
    <w:p>
      <w:r>
        <w:t>a) Der Grundsatz, dass ein zeitweiliger Mindererwerb mit dem an sich pfändbaren Mehrerlös der folgenden Zeit ausgeglichen werden kann, ist sowohl für den unselbständigen wie auch für den selbständigen Erwerb anerkannt ( BGE 68 III 156 , BGE 69 III 54 E. 2, BGE 96 IV 111 f.; FRITZSCHE, Schuldbetreibung und Konkurs, 2. Aufl., Bd. 1, S. 213). Es besteht kein Grund, diesen Grundsatz dann nicht anzuerkennen, wenn der im Vergleich zum Existenzminimum eingetretene Minder- und Mehrerlös auf einen Wechsel von der selbständigen zur unselbständigen Erwerbstätigkeit zurückzuführen ist. Im vorliegenden Fall waren die Einkommensverhältnisse vor und nach dem 1. April 1975 so verschieden, dass der Ausschluss einer Kompensation von Minder- und Mehrerwerb stossend wäre. Es wäre auch widersprüchlich, einerseits die alte Pfändung insoweit anzuerkennen, als sie die Schuldnerin trotz der Erwerbsänderung weiterhin zur Ablieferung des Lohnes verpflichtete, andererseits den Fortbestand der ursprünglichen Pfändung aber insofern zu verneinen, als daraus die Möglichkeit zum Ausgleich von Minder- und Mehrerwerb folgt. Im Gegensatz zur Ansicht der Vorinstanz sind daher die Erwerbsverhältnisse der Beschwerdeführerin vor dem 1. April 1975 mitzuberücksichtigen.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