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231</w:t>
      </w:r>
    </w:p>
    <w:p>
      <w:r>
        <w:t>Bundesgericht (BGE), 1976-01-01, DE</w:t>
      </w:r>
    </w:p>
    <w:p>
      <w:r>
        <w:rPr>
          <w:b/>
        </w:rPr>
        <w:t xml:space="preserve">Quelle: </w:t>
      </w:r>
      <w:r>
        <w:t>https://mcp.opencaselaw.ch/entscheid/bge_BGE_102_IV_231</w:t>
      </w:r>
    </w:p>
    <w:p>
      <w:r>
        <w:t>FR: ATF 102 IV 231</w:t>
      </w:r>
    </w:p>
    <w:p>
      <w:r>
        <w:t>IT: DTF 102 IV 231</w:t>
      </w:r>
    </w:p>
    <w:p>
      <w:pPr>
        <w:pStyle w:val="Heading2"/>
      </w:pPr>
      <w:r>
        <w:t>Regeste</w:t>
      </w:r>
    </w:p>
    <w:p>
      <w:r>
        <w:t>Regeste Art. 41 Ziff. 3 Abs. 2 StGB; leichter Fall. Ob eine konkrete Straftat leicht oder schwer ist, hängt nicht davon ab, wie viel Zeit seit einer früheren Verurteilung verstrichen ist oder wie hart die Strafsanktion den Täter trifft (Erw. 3).</w:t>
      </w:r>
    </w:p>
    <w:p>
      <w:r>
        <w:t>Regeste Art. 41 ch. 3 al. 2 CP; cas de peu de gravité. Savoir si un cas concret est ou non de peu de gravité ne dépend pas du temps plus ou moins long qui s'est écoulé depuis une précédente condamnation, ni de la rigueur avec laquelle la sanction pénale frappe l'auteur (consid. 3).</w:t>
      </w:r>
    </w:p>
    <w:p>
      <w:r>
        <w:t>Regesto Art. 41 n. 3 cpv. 2 CP; caso di lieve gravità. La questione a sapere se un caso concreto è o no di lieve gravità non dipende né dal tempo più o meno lungo trascorso dopo una precendente condanna, né dalla severità della sanzione penale che colpisce l'autore (consid. 3).</w:t>
      </w:r>
    </w:p>
    <w:p>
      <w:pPr>
        <w:pStyle w:val="Heading2"/>
      </w:pPr>
      <w:r>
        <w:t>Erwägungen</w:t>
      </w:r>
    </w:p>
    <w:p>
      <w:r>
        <w:rPr>
          <w:b/>
        </w:rPr>
        <w:t>E. 1</w:t>
      </w:r>
    </w:p>
    <w:p>
      <w:r>
        <w:t>Neben der Aussicht auf Bewährung, die im vorliegenden Fall nicht bestritten wird, setzt ein Verzicht auf den Widerruf des bedingten Strafvollzuges wegen neuer Delikte gemäss Art. 41 Ziff. 3 Abs. 2 StGB voraus, dass ein leichter Fall BGE 102 IV 231 S. 232 vorliegt. Hierbei handelt es sich um einen unbestimmten Rechtsbegriff, dessen Auslegung durch die kantonalen Gerichte der Kassationshof mit Zurückhaltung überprüft ( BGE 101 IV 13 Erw. 1 mit Verweisungen). Ob ein während der Probezeit begangenes Delikt als "leicht" zu bewerten ist, hängt nicht allein von der Art und Dauer der erneut ausgesprochenen Strafe ab. Wenn diesem Kriterium bei der Würdigung des Falles auch eine erhebliche Bedeutung zukommt, so ist daneben die Gesamtheit der Tatumstände zu berücksichtigen. Der Richter muss anhand aller objektiven und subjektiven Umstände des Einzelfalles prüfen, ob der neuen Tat ein leichtes oder ein nicht mehr leicht zu nehmendes Verschulden zugrunde liegt und ob allenfalls aussergewöhnliche Umstände in Betracht zu ziehen sind ( BGE 101 IV 13 Erw. 1 und BGE 98 IV 251 Erw. 3c).</w:t>
      </w:r>
    </w:p>
    <w:p>
      <w:r>
        <w:rPr>
          <w:b/>
        </w:rPr>
        <w:t>E. 2</w:t>
      </w:r>
    </w:p>
    <w:p>
      <w:r>
        <w:t>Unter Hinweis auf die bundesgerichtliche Rechtsprechung hat die Vorinstanz dargelegt, dass die Dauer (drei Monate) der neuen bedingten Freiheitsstrafe im Hinblick auf Art. 38 Ziff. 4 Abs. 1 StGB die Annahme eines leichten Falles nicht zum vornherein ausschliesse. In Würdigung der gesamten objektiven und subjektiven Umstände könne aber in casu auf den Widerruf nicht verzichtet werden; denn das Verschulden des Angeklagten wiege nicht leicht. Neben dem recht hohen Deliktsbetrag von Fr. 2'000.-- sei zu berücksichtigen, dass der Angeklagte das in ihn gesetzte Vertrauen seines Arbeitgebers schwer missbraucht habe. Im übrigen hat das Obergericht die von X. behauptete seelische Stress-Situation verneint. Diese Ausführungen im angefochtenen Urteil entsprechen den vom Kassationshof entwickelten Grundsätzen und enthalten keine Rechtsverletzung. Soweit der Beschwerdeführer sein Verschulden im Hinblick auf die besonderen psychischen Gründe und die Versuchungssituation als leicht erachtet, ist dieser Einwand unzulässig, da er den tatsächlichen Feststellungen der Vorinstanz entgegensteht (Art. 273 Abs. 1 lit. b und 277bis Abs. 1 BStP).</w:t>
      </w:r>
    </w:p>
    <w:p>
      <w:r>
        <w:rPr>
          <w:b/>
        </w:rPr>
        <w:t>E. 3</w:t>
      </w:r>
    </w:p>
    <w:p>
      <w:r>
        <w:t>Ferner macht der Beschwerdeführer unter Bezugnahme auf eine Arbeit von ALBRECHT (Der Widerruf des bedingten Strafvollzuges wegen neuer Delikte, BJM 1975, S. 57 ff., insb. S. 66) geltend, dass auch dem Zeitpunkt des allfälligen Widerrufes eine erhebliche Bedeutung zukomme. Wenn der Richter BGE 102 IV 231 S. 233 erst lange nach Ablauf der Probezeit befinde - was im vorliegenden Falle zutreffe -, so müsse dieser Umstand bei der Frage des leichten Falles zugunsten des Täters verwertet werden. Ausserdem sei auch in Betracht zu ziehen, ob der Widerruf im Hinblick auf die Persönlichkeit des Täters für diesen eine unverhältnismässige Härte bedeuten würde (ALBRECHT, a.a.O., S. 67). Dies gelte hier in erhöhtem Masse. Falls nämlich die Strafe vollzogen werde, verliere der Beschwerdeführer seine Stelle und ebenso seine Familie. Die beiden vom Beschwerdeführer hervorgehobenen Umstände waren für den Richter bei der Beurteilung des neuen Falles für die Bemessung der Strafe wesentlich. Gemäss Art. 63 StGB ist u.a. das Vorleben des Täters zu berücksichtigen; wer sich während längerer Zeit einwandfrei verhalten hat, wird deshalb regelmässig milder bestraft. Überdies sind die persönlichen Verhältnisse des Täters zu berücksichtigen, wobei auch die Strafempfindlichkeit und die familiären Verhältnisse ins Gewicht fallen können (SCHULTZ, Einführung in den Allgemeinen Teil des Strafrechts, 2. Auflage, Bd. II, S. 62 f.). Die in der Beschwerde angerufenen Umstände können also im Rahmen der Strafzumessung berücksichtigt werden und zu einer Herabsetzung der Strafe führen. Dagegen bilden sie entgegen der Ansicht von ALBRECHT (a.a.O.) keine selbständigen Kriterien für die Einstufung des neuen Delikts. Dieses beurteilt sich nach den konkreten Umständen des Falles ( BGE 86 IV 7 ). Ob eine konkrete Straftat leicht oder schwer ist, hängt nicht davon ab, wie viel Zeit seit einer früheren Verurteilung verstrichen ist oder wie hart die Strafsanktion den Täter trifft. Der Beschwerdeführer hat nicht dargetan, dass die Vorinstanz bei der Strafzumessung Art. 63 StGB verletzt hat. Ebensowenig liegt eine Verletzung von Bundesrecht darin, dass sie den so beurteilten neuen Fall nicht mehr als leicht i.S. von Art. 41 Ziff. 3 Abs. 2 StGB einstufte.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