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196</w:t>
      </w:r>
    </w:p>
    <w:p>
      <w:r>
        <w:t>Bundesgericht (BGE), 1975-03-20, DE</w:t>
      </w:r>
    </w:p>
    <w:p>
      <w:r>
        <w:rPr>
          <w:b/>
        </w:rPr>
        <w:t xml:space="preserve">Quelle: </w:t>
      </w:r>
      <w:r>
        <w:t>https://mcp.opencaselaw.ch/entscheid/bge_BGE_102_IV_196</w:t>
      </w:r>
    </w:p>
    <w:p>
      <w:r>
        <w:t>FR: ATF 102 IV 196</w:t>
      </w:r>
    </w:p>
    <w:p>
      <w:r>
        <w:t>IT: DTF 102 IV 196</w:t>
      </w:r>
    </w:p>
    <w:p>
      <w:pPr>
        <w:pStyle w:val="Heading2"/>
      </w:pPr>
      <w:r>
        <w:t>Regeste</w:t>
      </w:r>
    </w:p>
    <w:p>
      <w:r>
        <w:t>Regeste Art. 19. 19a Ziff. 1, 19b des Bundesgesetzes über die Betäubungsmittel vom 20. März 1975. Ausser dem Drogenhandel erfasst das BetmG auch strafbare Handlungen, die sich auf den Drogenkonsum beziehen. Es sind selbständige Tatbestände, die unter dem Gesichtspunkt des Art. 2 Abs. 2 StGB ein eigenes, rechtliches Schicksal haben können. Die Konsumhandlungen im weiteren Sinne (Vorbereitungs-, Beschaffungshandlungen und unbefugter, vorsätzlicher Genuss von Drogen) stellen unter sich verschiedene rechtliche Einheiten dar.</w:t>
      </w:r>
    </w:p>
    <w:p>
      <w:r>
        <w:t>Regeste Art. 19, 19a ch. 1, 19b de la LF sur les stupéfiants du 30 octobre 1951, telle qu'elle a été modifiée le 20 mars 1975. En dehors du commerce de drogue proprement dit, la LF vise également d'autres actes punissables, qui sont en relation avec la consommation de drogue. De tels actes considérés en eux-mêmes peuvent avoir un sort juridique différent et indépendant au regard de l'art. 2 al. 2 CP. Les actes de consommation au sens large (préparation, transmission, ainsi que l'usage illicite et volontaire de la drogue) se présentent chacun comme une entité juridique distincte.</w:t>
      </w:r>
    </w:p>
    <w:p>
      <w:r>
        <w:t>Regesto Art. 19, 19a n. 1, 19b della LF sugli stupefacenti, del 3 ottobre 1951, nel testo modificato il 20 marzo 1975. Oltre il commercio degli stupefacenti, la legge federale disciplina anche altri atti punibili, che sono in relazione con il consumo degli stupefacenti. Trattasi di fattispecie indipendenti, suscettibili di soggiacere, sotto il profilo dell'art. 2 cpv. 2 CP, ad una disciplina giuridica autonoma. Ognuno degli atti di consumo in senso lato (preparazione, conseguimento, nonché uso illecito e intenzionale di stupefacenti) costituisce una fattispecie giuridica distinta.</w:t>
      </w:r>
    </w:p>
    <w:p>
      <w:pPr>
        <w:pStyle w:val="Heading2"/>
      </w:pPr>
      <w:r>
        <w:t>Volltext</w:t>
      </w:r>
    </w:p>
    <w:p>
      <w:r>
        <w:t>Bundesgericht (BGE) Band IV 1976 BGE 102 IV 196 Tribunal fédéral (ATF) Volume IV 1976 BGE 102 IV 196 Tribunale federale (DTF) Volume IV 1976 BGE 102 IV 196</w:t>
      </w:r>
    </w:p>
    <w:p>
      <w:r>
        <w:t>Regeste Art. 19. 19a Ziff. 1, 19b des Bundesgesetzes über die Betäubungsmittel vom 20. März 1975. Ausser dem Drogenhandel erfasst das BetmG auch strafbare Handlungen, die sich auf den Drogenkonsum beziehen. Es sind selbständige Tatbestände, die unter dem Gesichtspunkt des Art. 2 Abs. 2 StGB ein eigenes, rechtliches Schicksal haben können. Die Konsumhandlungen im weiteren Sinne (Vorbereitungs-, Beschaffungshandlungen und unbefugter, vorsätzlicher Genuss von Drogen) stellen unter sich verschiedene rechtliche Einheiten dar. Regeste Art. 19, 19a ch. 1, 19b de la LF sur les stupéfiants du 30 octobre 1951, telle qu'elle a été modifiée le 20 mars 1975. En dehors du commerce de drogue proprement dit, la LF vise également d'autres actes punissables, qui sont en relation avec la consommation de drogue. De tels actes considérés en eux-mêmes peuvent avoir un sort juridique différent et indépendant au regard de l'art. 2 al. 2 CP. Les actes de consommation au sens large (préparation, transmission, ainsi que l'usage illicite et volontaire de la drogue) se présentent chacun comme une entité juridique distincte. Regesto Art. 19, 19a n. 1, 19b della LF sugli stupefacenti, del 3 ottobre 1951, nel testo modificato il 20 marzo 1975. Oltre il commercio degli stupefacenti, la legge federale disciplina anche altri atti punibili, che sono in relazione con il consumo degli stupefacenti. Trattasi di fattispecie indipendenti, suscettibili di soggiacere, sotto il profilo dell'art. 2 cpv. 2 CP, ad una disciplina giuridica autonoma. Ognuno degli atti di consumo in senso lato (preparazione, conseguimento, nonché uso illecito e intenzionale di stupefacenti) costituisce una fattispecie giuridica distinta.</w:t>
      </w:r>
    </w:p>
    <w:p>
      <w:r>
        <w:t>Urteilskopf 102 IV 196 44. Auszug aus dem Urteil des Kassationshofes vom 3. Juni 1976 i.S. X. gegen Staatsanwaltschaft des Kantons Zürich. Regeste Art. 19. 19a Ziff. 1, 19b des Bundesgesetzes über die Betäubungsmittel vom 20. März 1975. Ausser dem Drogenhandel erfasst das BetmG auch strafbare Handlungen, die sich auf den Drogenkonsum beziehen. Es sind selbständige Tatbestände, die unter dem Gesichtspunkt des Art. 2 Abs. 2 StGB ein eigenes, rechtliches Schicksal haben können. Die Konsumhandlungen im weiteren Sinne (Vorbereitungs-, Beschaffungshandlungen und unbefugter, vorsätzlicher Genuss von Drogen) stellen unter sich verschiedene rechtliche Einheiten dar. Erwägungen ab Seite 196 BGE 102 IV 196 S. 196 Aus den Erwägungen: Die Auffassung des Beschwerdeführers, dass das neue BetmG von 1975 gegenüber demjenigen von 1951 bezüglich des Drogenkonsums milder sei, trifft nicht zu. Art. 19 des letztgenannten Gesetzes bestrafte den Konsum von Betäubungsmitteln selber nicht ( BGE 95 IV 182 ), weshalb es insoweit BGE 102 IV 196 S. 197 gegenüber der neuen Ordnung, die in Art. 19a Ziff. 1 den unbefugten vorsätzlichen Genuss von Drogen als Übertretung unter Strafe stellt, jedenfalls das mildere ist. Soweit die Vorinstanz die dem Beschwerdeführer zur Last gelegten Konsumhandlungen im engeren Sinne der alten Ordnung unterstellt haben sollte, wäre sie richtig verfahren. Anders verhält es sich jedoch bezüglich der Vorbereitungs- oder Beschaffungshandlungen, die dem Konsum vorausgehen (vgl. SJZ 1976, S. 92). Diese stehen im alten Gesetz unter schwererer Strafdrohung als im neuen ( BGE 95 IV 182 /3). Art. 19a Ziff. 1 BetmG ahndet sie nicht mehr als Vergehen, sondern bloss als Übertretungen, soweit sie dem Eigenkonsum dienen, und wo es sich um geringfügige Mengen handelt, kann die Vorbereitung zum Selbstkonsum gemäss Art. 19b BetmG sogar straflos bleiben. Gleicherweise bleibt das unentgeltliche Abgeben geringer Mengen zur Ermöglichung des gleichzeitigen und gemeinsamen Konsums nunmehr ohne Strafe. Die Vorinstanz hat jedoch alle eingeklagten Widerhandlungen gegen die Betäubungsmittelgesetzgebung dem Gesetz von 1951 unterstellt, mit der Begründung, dass gegenüber dem Drogenhandel die "Konsumhandlungen" in den Hintergrund träten und gesamthaft betrachtet der Beschwerdeführer nach dem alten Recht besser fahre. Dieses Vorgehen ist nicht richtig. Die Konsumhandlungen stellen neben dem Drogenhandel selbständige Tatbestände dar, die unter dem Gesichtspunkt des Art. 2 Abs. 2 StGB auch ein durchaus eigenes Schicksal haben können (nicht veröffentlichtes Urteil des Kassationshofes vom 26. März 1976 i.S. R.) Dem stehen BGE 68 IV 130 und 78 IV 129 keineswegs entgegen. Das darin ausgesprochene Verbot der kombinierten Anwendung des alten und des neuen Rechts hat Bezug auf ein und dieselbe Tat. Es soll damit vermieden werden, dass hinsichtlich eines Deliktes z.B. dessen Qualifikation nach altem, die Sanktion sich aber nach neuem Recht richte. Hier geht es jedoch nicht bloss bezüglich Drogenhandel einerseits und Konsumhandlungen anderseits um im Gesetz selber unterschiedene Tatbestände, sondern es stellen auch die Konsumhandlungen im weiteren Sinne unter sich verschiedene rechtliche Einheiten dar (z.B. Vorbereitungs-, Beschaffungshandlungen und eigentlicher Drogenkonsum).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