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125</w:t>
      </w:r>
    </w:p>
    <w:p>
      <w:r>
        <w:t>Bundesgericht (BGE), 1976-01-01, FR</w:t>
      </w:r>
    </w:p>
    <w:p>
      <w:r>
        <w:rPr>
          <w:b/>
        </w:rPr>
        <w:t xml:space="preserve">Quelle: </w:t>
      </w:r>
      <w:r>
        <w:t>https://mcp.opencaselaw.ch/entscheid/bge_BGE_102_IV_125</w:t>
      </w:r>
    </w:p>
    <w:p>
      <w:r>
        <w:t>FR: ATF 102 IV 125</w:t>
      </w:r>
    </w:p>
    <w:p>
      <w:r>
        <w:t>IT: DTF 102 IV 125</w:t>
      </w:r>
    </w:p>
    <w:p>
      <w:pPr>
        <w:pStyle w:val="Heading2"/>
      </w:pPr>
      <w:r>
        <w:t>Regeste</w:t>
      </w:r>
    </w:p>
    <w:p>
      <w:r>
        <w:t>Regeste Art. 19a BetMG. Einzige Bedingung zur Anwendung dieser Bestimmung ist, dass die Widerhandlungen des Täters in keiner Art und Weise den Konsum durch Dritte ermöglichen.</w:t>
      </w:r>
    </w:p>
    <w:p>
      <w:r>
        <w:t>Regeste Art. 19a LStup. La seule condition mise par la loi à l'application de cette disposition est que les infractions de l'auteur ne soient en aucune manière destinées à assurer la consommation de tiers.</w:t>
      </w:r>
    </w:p>
    <w:p>
      <w:r>
        <w:t>Regesto Art. 19a LS. La sola condizione posta dalla legge all'applicazione di questa disposizione è che le infrazioni dell'autore non siano in alcun modo destinate ad assicurare il consumo da parte di terzi.</w:t>
      </w:r>
    </w:p>
    <w:p>
      <w:pPr>
        <w:pStyle w:val="Heading2"/>
      </w:pPr>
      <w:r>
        <w:t>Erwägungen</w:t>
      </w:r>
    </w:p>
    <w:p>
      <w:r>
        <w:rPr>
          <w:b/>
        </w:rPr>
        <w:t>E. 1</w:t>
      </w:r>
    </w:p>
    <w:p>
      <w:r>
        <w:t>Le Procureur recourant soutient que c'est à tort que la Cour de justice a refusé d'appliquer l'art. 19 de la loi sur les stupéfiants. Il fait valoir que l'intimé ne peut pas bénéficier de l'exception prévue à l'art. 19a de la loi en faveur de celui qui assure sa propre consommation, et cela en raison de la grande quantité de drogue importée et des buts visés par l'intimé. Pour le recourant est constitutif de l'infraction de l'art. 19a de la loi uniquement "l'acte strictement nécessaire pour satisfaire sa consommation dans un proche avenir, à l'exclusion de tout autre acte ayant une portée plus vaste". Ainsi la constitution d'un stock important, même pour sa propre consommation, ne pourrait permettre de bénéficier de l'application de l'art. 19a. Ne saurait non plus se voir mis au bénéfice de l'art. 19a celui qui, comme l'intimé, a cherché à réaliser une "bonne affaire", c'est-à-dire à se procurer un avantage patrimonial important en allant acheter la drogue à l'étranger plutôt que dans son propre pays où elle est plus chère; en agissant ainsi, l'intimé visait d'autres buts et allait au-delà de la stricte consommation personnelle, de telle sorte que son infraction devrait être sanctionnée par les peines prévues à l'art. 19 et non pas à l'art. 19a de la loi.</w:t>
      </w:r>
    </w:p>
    <w:p>
      <w:r>
        <w:rPr>
          <w:b/>
        </w:rPr>
        <w:t>E. 2</w:t>
      </w:r>
    </w:p>
    <w:p>
      <w:r>
        <w:t>Le point de vue du recourant ne peut être suivi. Il est en effet étranger au texte et au but de la loi. L'intimé a acheté, détenu, transporté, importé ou passé en transit des stupéfiants. Il a donc ainsi commis une infraction à l'art. 19 de la loi fédérale sur les stupéfiants. Cette infraction a, selon les constatations de fait, été commise par l'intimé pour assurer sa propre consommation, de telle sorte que les conditions d'application de l'art. 19a ch. 1 sont remplies à la lettre. La jurisprudence a certes précisé que si l'infraction à l'art. 19 devait aboutir en sus à la consommation par des tiers ou permettre une telle consommation concurremment à la consommation propre de l'auteur, voire pour faciliter ou pour permettre celle-ci, le bénéfice de l'application de l'art. 19a ne pourrait pas être accordé (TF 26 mars 1976 Ray c. Genève; 14 août 1976 Vaud c. Keist); BGE 102 IV 125 S. 127 mais telle n'est pas la situation qui se présente en l'espèce, si l'on s'en tient aux constatations de fait. Rien dans le texte de l'art. 19a ne permet de retenir qu'il se limite à la consommation immédiate ou du seul proche avenir. Si telle avait été la volonté du législateur, rien n'aurait en effet été plus aisé pour lui que de le préciser dans son texte même. Il n'en va pas différemment de la plus ou moins grande quantité des stupéfiants ou de leur prix d'acquisition; ces éléments ne sont pas mentionnés à l'art. 19a, de telle sorte qu'ils n'ont pas à jouer de rôle dans l'application de la disposition. Le législateur a fort bien su en effet se référer à des notions de temps et de quantité lorsqu'elles devaient être prises en considération (art. 19b par exemple); l'absence de référence de cette nature à l'art. 19a ne peut donc être que voulue. Cette interprétation correspond enfin au but de la loi, tel qu'exprimé clairement dans les travaux préparatoires et par le législateur (Message, in FF 1973 I 1303 ss; Bull.stén. CE 1973, p. 691 ss, 709 ss, et 1974, p. 594 ss, CN 1974, p. 1416 ss, 1444 ss, spéc. 1453/1454), et qui tend à différencier nettement la consommation personnelle et le trafic de la drogue, c'est-à-dire les actes destinés à la consommation par les tiers. En l'espèce, les actes de l'intimé remplissant les conditions d'application de l'art. 19a, et aucun élément ne permettant à la cour de céans de retenir que la drogue était destinée même partiellement à la consommation de tiers, c'est sans violation de la loi que la disposition précitée a été appliquée à l'intimé. Il faut bien concéder au recourant qu'il est difficile de croire qu'un individu se procure ou importe une quantité aussi importante de drogue uniquement pour ses besoins personnels. On ne devrait par ailleurs pas accepter facilement, et seulement sur la base d'éléments très sérieux, que les provisions faites à long terme par un drogué ne devaient en aucun cas être remises à des tiers. Mais cela n'autorise nullement la cour de céans à s'écarter, au mépris de l'art. 277bis al. 1 PPF, des constatations de l'autorité cantonale, surtout lorsque, comme en l'espèce, elles ne laissent aucune place à l'équivoque.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