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65</w:t>
      </w:r>
    </w:p>
    <w:p>
      <w:r>
        <w:t>Bundesgericht (BGE), 1967-03-08, DE</w:t>
      </w:r>
    </w:p>
    <w:p>
      <w:r>
        <w:rPr>
          <w:b/>
        </w:rPr>
        <w:t xml:space="preserve">Quelle: </w:t>
      </w:r>
      <w:r>
        <w:t>https://mcp.opencaselaw.ch/entscheid/bge_BGE_102_II_65</w:t>
      </w:r>
    </w:p>
    <w:p>
      <w:r>
        <w:t>FR: ATF 102 II 65</w:t>
      </w:r>
    </w:p>
    <w:p>
      <w:r>
        <w:t>IT: DTF 102 II 65</w:t>
      </w:r>
    </w:p>
    <w:p>
      <w:pPr>
        <w:pStyle w:val="Heading2"/>
      </w:pPr>
      <w:r>
        <w:t>Regeste</w:t>
      </w:r>
    </w:p>
    <w:p>
      <w:r>
        <w:t>Regeste Art. 158 Ziff. 5 ZGB. Anforderungen an die richterliche Genehmigung von Vereinbarungen über die Nebenfolgen der Scheidung.</w:t>
      </w:r>
    </w:p>
    <w:p>
      <w:r>
        <w:t>Regeste Art. 158 ch. 5 CC. Exigences quant à la ratification par le juge de conventions relatives aux effets accessoires du divorce.</w:t>
      </w:r>
    </w:p>
    <w:p>
      <w:r>
        <w:t>Regesto Art. 158 n. 5 CC. Requisiti per l'approvazione di convenzioni sulle conseguenze accessorie del divorzio da parte del giudice.</w:t>
      </w:r>
    </w:p>
    <w:p>
      <w:pPr>
        <w:pStyle w:val="Heading2"/>
      </w:pPr>
      <w:r>
        <w:t>Erwägungen</w:t>
      </w:r>
    </w:p>
    <w:p>
      <w:r>
        <w:rPr>
          <w:b/>
        </w:rPr>
        <w:t>E. 1</w:t>
      </w:r>
    </w:p>
    <w:p>
      <w:r>
        <w:t>Im Berufungsverfahren vor Bundesgericht ist allein die Frage streitig, ob die Ziffer 5 der Scheidungskonvention seinerzeit im Sinne von Art. 158 Ziff. 5 ZGB richterlich genehmigt worden und damit in Rechtsgültigkeit erwachsen ist. Davon hängt es nach der übereinstimmenden Auffassung der Parteien ab, ob der Beklagte zur Bezahlung des von der Klägerin geforderten Betrages verpflichtet ist. Der Beklagte macht im wesentlichen geltend, der Scheidungsrichter habe in seinem Urteil klar zwischen Genehmigung und blosser Vormerkung einzelner Bestimmungen der Konvention unterschieden und sodann selber zum Ausdruck gebracht, was die Vormerkung zu bedeuten habe: Genehmigt habe er nur jenen Teil der Scheidungskonvention, den er zum Urteil erhoben habe; vorgemerkt habe er demgegenüber jene Bestimmungen, die als Massstab für einen späteren Abänderungsprozess von Bedeutung sein könnten. Die Parteien hätten auf die Genehmigung BGE 102 II 65 S. 68 der Ziffer 5 und damit auf deren Verbindlichkeit verzichtet; dadurch sei diese Bestimmung aus der Konvention losgelöst worden. Die vorgesehene Anpassung der Rente könne somit nur durch Abschluss einer Vereinbarung oder auf dem Wege einer Abänderung des Scheidungsurteils erreicht werden. Ein Auseinanderfallen von formeller und materieller Genehmigung sei dem Bundesrecht unbekannt.</w:t>
      </w:r>
    </w:p>
    <w:p>
      <w:r>
        <w:rPr>
          <w:b/>
        </w:rPr>
        <w:t>E. 2</w:t>
      </w:r>
    </w:p>
    <w:p>
      <w:r>
        <w:t>Nach Art. 158 Ziff. 5 ZGB bedürfen Vereinbarungen über die Nebenfolgen der Scheidung zu ihrer Rechtsgültigkeit der Genehmigung durch den Richter. Zweck dieser Genehmigungspflicht ist es, dass die von den Parteien geschlossenen Vereinbarungen vom Richter auf ihre rechtliche Zulässigkeit, ihre Klarheit und ihre sachliche Angemessenheit geprüft werden (EGGER, N. 14 zu Art. 158 ZGB ; HINDERLING, Das schweizerische Ehescheidungsrecht, 3. Aufl., S. 185; BGE 60 II 82 ). Die Prüfung der Angemessenheit einer Vereinbarung ist allerdings nur eine beschränkte, soweit lediglich die vermögensrechtlichen Beziehungen zwischen den Eheleuten selber in Frage stehen (vgl. dazu BGE 99 II 362 lit. c mit Zitaten). Das Gesetz regelt nicht näher, in welcher Form die Genehmigung zu erfolgen hat. Es dürfte indessen kaum zweifelhaft sein, dass sie in das Scheidungsurteil selber aufzunehmen ist (so EGGER, N. 15 zu Art. 158 ZGB ; EMILIE HARTMANN, Die Scheidungskonvention nach schweiz. Privatrecht, Berner Diss. 1943, S. 40/41). Da es sich dabei um eine Einrichtung des Bundesrechts handelt, ist die Frage, ob eine Genehmigung im Einzelfall erfolgt sei, der Überprüfung durch das Bundesgericht zugänglich. Die Genehmigung ist grundsätzlich dann als erteilt zu betrachten, wenn sich aus dem Scheidungsurteil ergibt, dass der Richter das von den Parteien Vereinbarte auf seine Zulässigkeit, Klarheit und Angemessenheit hin geprüft und unter diesen Gesichtspunkten nichts dagegen einzuwenden hat. Ob und inwieweit der Inhalt einer genehmigten Vereinbarung in das Urteilsdispositiv selber aufgenommen werden muss, kann hier dahingestellt bleiben, da diese Voraussetzung im vorliegenden Fall erfüllt ist (vgl. zu dieser Frage GMÜR, N. 23a zu Art. 158 ZGB ; HARTMANN, a.a.O. S. 40/41). Aus dem Scheidungsurteil des Bezirksgerichtes Uster geht hervor, dass das Gericht die Regelung in Ziffer 5 der Scheidungskonvention materiell geprüft und deren Angemessenheit BGE 102 II 65 S. 69 bejaht hat. Der einzige Grund, weshalb es die betreffende Bestimmung von der formellen Genehmigung glaubte ausnehmen zu müssen, war der Umstand, dass sie nicht als Rechtsöffnungstitel betrachtet werden konnte. Trotzdem nahm es sie in das Urteilsdispositiv auf, "in der Meinung, dass sie einen allfälligen spätern Abänderungsprozess erleichtern oder besser noch verhüten könne(n)". Damit steht fest, dass das Scheidungsgericht den verbindlichen Charakter der betreffenden Bestimmung nicht grundsätzlich in Frage stellen wollte. Es war lediglich der Auffassung, deren Anwendbarkeit beschränke sich auf den Fall einer späteren Abänderung des Scheidungsurteils. Da dieser Umstand indessen auch nach der Auffassung des Gerichts keinen genügenden Grund für die Ausserachtlassung des von den Parteien Vereinbarten bildete, wurde die fragliche Bestimmung im Urteil vorgemerkt. Es fragt sich nun, ob diese Vormerknahme von der Vorinstanz ohne Verletzung von Bundesrecht als Genehmigung im Sinne von Art. 158 Ziff. 5 ZGB anerkannt werden durfte. Diese Frage ist ohne Bedenken zu bejahen. Aus dem Bundesrecht lässt sich nicht ableiten, dass eine Scheidungsvereinbarung geradezu den Charakter eines Rechtsöffnungstitels aufweisen müsse, um gerichtlich genehmigt werden zu können. Zwar ist es zweifellos erwünscht, wenn bei der Umschreibung der Leistungspflicht einer Partei darauf geachtet wird, dass die Vollstreckung möglichst ohne neuen Prozess erfolgen kann. Es würde indessen zu weit führen, einem von den Parteien vereinbarten Nachklagerecht die Genehmigung nur deshalb zu versagen, weil es ohne neuen Prozess nicht vollstreckbar ist ( BGE 80 II 192 /193). Mit der Aufnahme von Ziffer 5 der Scheidungskonvention in das Urteilsdispositiv hat der Scheidungsrichter zum Ausdruck gebracht, dass auch diese Bestimmung der von den Parteien geschlossenen Vereinbarung nach Eintritt der darin enthaltenen Bedingung Rechtswirkungen entfalten solle. Darin ist aber bereits die Erteilung einer Genehmigung im Sinne von Art. 158 Ziff. 5 ZGB zu erblicken. Dass der Scheidungsrichter auf Grund einer bundesrechtlich nicht zutreffenden Überlegung annahm, die Genehmigung könne formell nicht in gleicher Weise ausgesprochen werden wie in bezug auf die ohne weiteres vollstreckbaren Konventionsbestimmungen, vermag an der Rechtslage nichts zu ändern. Mit der materiellen Prüfung BGE 102 II 65 S. 70 der getroffenen Regelung und deren Vormerknahme im Urteilsdispositiv ist das von den Parteien Vereinbarte sinngemäss genehmigt worden, selbst wenn dies aus dem Scheidungsurteil nicht ausdrücklich hervorgeht. Eine falsche Ausdrucksweise darf nichts schaden, sofern alle Voraussetzungen einer Genehmigung im Sinne des Bundesrechts gegeben sind. Nicht von Bedeutung ist ferner, dass der Scheidungsrichter die rechtliche Tragweite der betreffenden Klausel lediglich in der Erleichterung eines künftigen Abänderungsprozesses erblickte. Der später angerufene Richter ist an die Interpretation des Scheidungsrichters nicht gebunden. Erheblich ist einzig, dass der betreffenden Bestimmung auch nach Auffassung des Scheidungsrichters bindende Wirkung zukam. Das ist hier der Fall. Es trifft deshalb nicht zu, dass mit dem im Einverständnis der Parteien erfolgten Verzicht auf eine förmliche Genehmigung auch auf die Verbindlichkeit der in Frage stehenden Regelung verzichtet worden wäre, wie in der Berufungsschrift ausgeführt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