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55</w:t>
      </w:r>
    </w:p>
    <w:p>
      <w:r>
        <w:t>Bundesgericht (BGE), 1976-01-01, FR</w:t>
      </w:r>
    </w:p>
    <w:p>
      <w:r>
        <w:rPr>
          <w:b/>
        </w:rPr>
        <w:t xml:space="preserve">Quelle: </w:t>
      </w:r>
      <w:r>
        <w:t>https://mcp.opencaselaw.ch/entscheid/bge_BGE_102_II_55</w:t>
      </w:r>
    </w:p>
    <w:p>
      <w:r>
        <w:t>FR: ATF 102 II 55</w:t>
      </w:r>
    </w:p>
    <w:p>
      <w:r>
        <w:t>IT: DTF 102 II 55</w:t>
      </w:r>
    </w:p>
    <w:p>
      <w:pPr>
        <w:pStyle w:val="Heading2"/>
      </w:pPr>
      <w:r>
        <w:t>Regeste</w:t>
      </w:r>
    </w:p>
    <w:p>
      <w:r>
        <w:t>Regeste Art. 43 Abs. 1, 55 Abs. 1 lit. c, 46 OG. Unzulässigkeit der Berufung wegen Verletzung eines verwaltungsrechtlichen Vertrages, der dem kantonalen Recht untersteht (Erw. 1 und 3). Art. 2 ZGB beschränkt die Ausübung der Rechte, die auf der kantonalen Gesetzgebung beruhen, nicht; ob ein Gemeinwesen den Grundsatz von Treu und Glauben beim Abschluss eines verwaltungsrechtlichen Vertrages, der dem kantonalen Recht untersteht, verletzt hat, beurteilt sich nach diesem Recht (Erw. 1 am Ende, 2).</w:t>
      </w:r>
    </w:p>
    <w:p>
      <w:r>
        <w:t>Regeste Art. 43 al. 1, 55 al. 1 litt. c, 46 OJ. Irrecevabilité du recours en réforme pour violation d'un contrat de droit administratif soumis au droit public cantonal (consid. 1 et 3). L'art. 2 CC ne limite pas l'exercice des droits fondés sur la législation cantonale; la question de savoir si une collectivité publique a violé les règles de la bonne foi à l'occasion de la conclusion d'un contrat de droit administratif soumis au droit public cantonal relève de ce droit (consid. 1 in fine, 2).</w:t>
      </w:r>
    </w:p>
    <w:p>
      <w:r>
        <w:t>Regesto Art. 43 cpv. 1, 55 cpv. 1 lett. c, 46 OG. Inamissibilità del ricorso per riforma per violazione di un contratto di diritto amministrativo retto dal diritto pubblico cantonale (consid. 1 e 3). L'art. 2 CC non limita l'esercizio dei diritti fondati sulla legislazione cantonale; la questione a sapere se una collettività pubblica ha violato le regole della buona fede in occasione della conclusione di un contratto di diritto amministrativo retto dal diritto pubblico cantonale deve essere risolta alla luce di questo diritto (consid. 1 in fine, 2).</w:t>
      </w:r>
    </w:p>
    <w:p>
      <w:pPr>
        <w:pStyle w:val="Heading2"/>
      </w:pPr>
      <w:r>
        <w:t>Erwägungen</w:t>
      </w:r>
    </w:p>
    <w:p>
      <w:r>
        <w:rPr>
          <w:b/>
        </w:rPr>
        <w:t>E. 1</w:t>
      </w:r>
    </w:p>
    <w:p>
      <w:r>
        <w:t>Le demandeur et le Tribunal cantonal considèrent avec raison la convention du 11 février 1971 comme un contrat de droit administratif au sens de la jurisprudence et de la doctrine (RO 78 II 27, 81 I 393, 87 I 281, 93 I 509 ss, 95 I 418 ss, 99 Ib 120 consid. 2; IMBODEN, RDS 77 II 1a ss; ZWAHLEN, RDS 77 II 461a ss; GRISEL, Droit administratif suisse, p. 219 ss). Cette convention ne visait pas à régir des rapports de droit privé entre personnes placées sur pied d'égalité; elle fixait les droits et devoirs de la défenderesse, dans le cadre de l'exécution de tâches d'intérêt public (aménagement de canalisations d'égouts, approvisionnement en eau, construction et éclairage de routes) en rapport avec les constructions projetées par le demandeur sur son fonds. Comme ces tâches, les prétentions issues de la convention du 11 février 1971 BGE 102 II 55 S. 58 sont soumises au droit public cantonal. C'est selon ce droit qu'on doit juger notamment si, comme le soutient le demandeur, la Municipalité lui donnait par ladite convention "l'assurance que le plan de quartier serait admis par le Conseil". Cette interprétation de la convention, ainsi que le grief que le demandeur fait à la défenderesse d'avoir violé ses obligations contractuelles en exigeant de lui, par son Conseil communal, un versement supplémentaire de 50'000 fr., ne sauraient donc être soumis au Tribunal fédéral par la voie du recours en réforme. Celui-ci n'est en effet recevable que pour violation du droit fédéral (art. 43 al. 1, 55 al. 1 litt. c OJ; cf. par exemple RO 89 II 270). C'est à tort que le demandeur fonde ses prétentions à des dommages-intérêts positifs sur l'art. 97 CO. Les conséquences de la violation d'un contrat soumis au droit cantonal dépendent non pas de cette disposition, mais du droit cantonal. Quant à l'argument selon lequel la défenderesse aurait commis, en refusant d'approuver le projet de lotissement, un abus de pouvoir incompatible avec les règles de la bonne foi, il n'est pas non plus recevable. L'art. 2 CC limite l'exercice des droits fondés sur la législation fédérale, et non de ceux qui reposent sur des dispositions de droit cantonal (RO 44 II 445, 79 405 consid. 5, 83 II 351 consid. 3, 84 II 642, 85 II 151, 102 II 55 consid. 2).</w:t>
      </w:r>
    </w:p>
    <w:p>
      <w:r>
        <w:rPr>
          <w:b/>
        </w:rPr>
        <w:t>E. 2</w:t>
      </w:r>
    </w:p>
    <w:p>
      <w:r>
        <w:t>A l'appui de ses conclusions subsidiaires, qui tendent au paiement de dommages-intérêts correspondant aux frais engagés pour des travaux d'infrastructure inutiles, le demandeur fait valoir que la défenderesse "a commis, par sa Municipalité, un acte illicite, s'apparentant à une culpa in contrahendo, acte illicite qui a consisté dans les assurances fallacieuses données par elle que le plan de quartier serait approuvé par le Conseil communal". Il se prévaut du principe de la bonne foi en droit administratif découlant de l'art. 2 al. 1 CC. L'art. 2 CC ne prescrit pas comment une collectivité doit accomplir ses tâches d'intérêt public, en particulier à l'occasion de la conclusion d'un contrat de droit administratif. Dans la mesure où le principe de la bonne foi s'applique également en droit administratif, il relève du droit public, en l'espèce du droit cantonal. C'est selon ce droit qu'il faut juger si la défenderesse a commis un acte illicite en donnant au demandeur, par sa Municipalité, des "assurances fallacieuses ... que le BGE 102 II 55 S. 59 plan de quartier serait approuvé par le Conseil communal". Les conclusions subsidiaires du recours ne sont donc pas non plus recevables.</w:t>
      </w:r>
    </w:p>
    <w:p>
      <w:r>
        <w:rPr>
          <w:b/>
        </w:rPr>
        <w:t>E. 3</w:t>
      </w:r>
    </w:p>
    <w:p>
      <w:r>
        <w:t>Vu ce qui précède, le présent litige ne constitue pas une contestation civile au sens de l'art. 46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