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53</w:t>
      </w:r>
    </w:p>
    <w:p>
      <w:r>
        <w:t>Bundesgericht (BGE), 1976-01-01, DE</w:t>
      </w:r>
    </w:p>
    <w:p>
      <w:r>
        <w:rPr>
          <w:b/>
        </w:rPr>
        <w:t xml:space="preserve">Quelle: </w:t>
      </w:r>
      <w:r>
        <w:t>https://mcp.opencaselaw.ch/entscheid/bge_BGE_102_II_53</w:t>
      </w:r>
    </w:p>
    <w:p>
      <w:r>
        <w:t>FR: ATF 102 II 53</w:t>
      </w:r>
    </w:p>
    <w:p>
      <w:r>
        <w:t>IT: DTF 102 II 53</w:t>
      </w:r>
    </w:p>
    <w:p>
      <w:pPr>
        <w:pStyle w:val="Heading2"/>
      </w:pPr>
      <w:r>
        <w:t>Regeste</w:t>
      </w:r>
    </w:p>
    <w:p>
      <w:r>
        <w:t>Regeste 1. Art. 43 Abs. 1 und 55 Abs. 1 lit. c OG. Gegen Entscheide, die auf kantonalem Recht beruhen, ist die Berufung nur zulässig, wenn der kantonale Gesetzgeber bei der Regelung der Frage verpflichtet war, auf Bundesrecht Rücksicht zu nehmen (Erw. 1). 2. Art. 2 ZGB setzt der Anwendung des kantonalen Rechts keine Schranken (Erw. 2).</w:t>
      </w:r>
    </w:p>
    <w:p>
      <w:r>
        <w:t>Regeste 1. Art. 43 al. 1 et 55 al. 1 litt. c OJ. Le recours en réforme n'est recevable contre des décisions qui reposent sur le droit cantonal que si le législateur cantonal devait tenir compte du droit fédéral lors de la réglementation de la question litigieuse (consid. 1). 2. L'art. 2 CC n'assigne pas de limites à l'application du droit cantonal (consid. 2).</w:t>
      </w:r>
    </w:p>
    <w:p>
      <w:r>
        <w:t>Regesto 1. Art. 43 cpv. 1 e 55 cpv. 1 lett. c OG. Il ricorso per riforma contro decisioni fondate sul diritto cantonale è ammissibile unicamente se in sede di regolamentazione della questione litigiosa, il legislatore cantonale doveva tener conto del diritto federale (consid. 1). 2. L'art. 2 CC non pone limiti all'applicazione del diritto cantonale (consid. 2).</w:t>
      </w:r>
    </w:p>
    <w:p>
      <w:pPr>
        <w:pStyle w:val="Heading2"/>
      </w:pPr>
      <w:r>
        <w:t>Erwägungen</w:t>
      </w:r>
    </w:p>
    <w:p>
      <w:r>
        <w:rPr>
          <w:b/>
        </w:rPr>
        <w:t>E. 1</w:t>
      </w:r>
    </w:p>
    <w:p>
      <w:r>
        <w:t>Gegenstand der beiden kantonalen Entscheide und folglich der Berufung ist nur, ob die Klage beim Gerichtspräsidenten angebracht werden durfte oder ob gemäss Art. 7 Abs. 2 ZPO als einzige kantonale Instanz der Appellationshof zuständig sei. Diese Frage untersteht dem kantonalen Prozessrecht ( Art. 64 Abs. 3 BV ) und darf daher vom Bundesgericht auf Berufung hin nicht überprüft werden ( Art. 43, 55 Abs. 1 lit. c OG ). Dass die sachliche Zuständigkeit der kantonalen Instanzen davon abhängt, ob bei materieller Beurteilung die Berufung an das Bundesgericht zulässig wäre, ändert nichts. Das ist zwar eine Vorfrage des eidgenössischen Rechts. Eine solche macht aber die Berufung gegen einen auf kantonalem Recht beruhenden Entscheid nur möglich, wenn der kantonale Gesetzgeber verpflichtet ist, dem eidgenössischen Recht Rechnung zu tragen ( BGE 80 II 183 , BGE 84 II 133 , BGE 85 II 364 , BGE 96 II 63 , BGE 101 II 170 ). Das trifft hier nicht zu. Das Bundesrecht bestimmt nicht, der Kanton müsse zur Beurteilung vermögensrechtlicher Klagen der vorliegenden Art im Falle der Berufungsfähigkeit der Sache eine einzige Instanz, andernfalls dagegen deren zwei einsetzen. Dass die vorliegende Klage zur Aufrechterhaltung eines Arrestes eingereicht wurde, ist unerheblich. BGE 102 II 53 S. 55 Auch für solche Klagen regelt ausschliesslich das kantonale Recht die sachliche Zuständigkeit des kantonalen Richters, wie es übrigens (s. BGE 85 II 363 , 91 II 45, BGE 95 II 206 ) auch für den örtlichen Gerichtsstand allein massgebend ist. Damit ist zugleich gesagt, dass das eidgenössische Recht nicht gebietet, wie der von Art. 7 Abs. 2 ZPO verwendete Begriff der "vermögensrechtlichen Streitigkeiten, welche der Berufung an das Bundesgericht fähig sind", auszulegen sei. Es ist eine Frage des kantonalen Rechts, ob die Berufungsfähigkeit im Sinne dieser Bestimmung schon dann gegeben ist, wenn, wie im vorliegenden Fall, das Bundesgericht auf Berufung gegen das Sachurteil hin wird entscheiden müssen, ob ausländisches oder schweizerisches Recht anzuwenden sei, oder nur dann, wenn das streitige Rechtsverhältnis dem schweizerischen Recht untersteht und das Bundesgericht den Streit daher auch im übrigen wird beurteilen können.</w:t>
      </w:r>
    </w:p>
    <w:p>
      <w:r>
        <w:rPr>
          <w:b/>
        </w:rPr>
        <w:t>E. 2</w:t>
      </w:r>
    </w:p>
    <w:p>
      <w:r>
        <w:t>Die Klägerin erachtet die Einrede der Beklagten, der Gerichtspräsident sei sachlich nicht zuständig, als rechtsmissbräuchlich. Auch auf diese Rüge kann nicht eingetreten werden. Art. 2 ZGB setzt nur der Berufung auf eidgenössisches Recht eine Schranke, nicht auch der Anwendung des kantonalen Rechtes ( BGE 44 II 445 , BGE 79 II 405 Erw. 5, BGE 83 II 351 Erw. 3, BGE 84 II 642 , BGE 85 II 151 ).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