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389</w:t>
      </w:r>
    </w:p>
    <w:p>
      <w:r>
        <w:t>Bundesgericht (BGE), 1976-01-01, IT</w:t>
      </w:r>
    </w:p>
    <w:p>
      <w:r>
        <w:rPr>
          <w:b/>
        </w:rPr>
        <w:t xml:space="preserve">Quelle: </w:t>
      </w:r>
      <w:r>
        <w:t>https://mcp.opencaselaw.ch/entscheid/bge_BGE_102_II_389</w:t>
      </w:r>
    </w:p>
    <w:p>
      <w:r>
        <w:t>FR: ATF 102 II 389</w:t>
      </w:r>
    </w:p>
    <w:p>
      <w:r>
        <w:t>IT: DTF 102 II 389</w:t>
      </w:r>
    </w:p>
    <w:p>
      <w:pPr>
        <w:pStyle w:val="Heading2"/>
      </w:pPr>
      <w:r>
        <w:t>Regeste</w:t>
      </w:r>
    </w:p>
    <w:p>
      <w:r>
        <w:t>Regeste 1. Art. 43 und 49 OG. Gegen einen Zwischen- oder Vorentscheid über die örtliche Zuständigkeit ist die Berufung nur zulässig wegen Verletzung von bundesrechtlichen Vorschriften über die örtliche Zuständigkeit (Erw. 2). 2. Art. 5 Abs. 1 UWG. Diese Bestimmung schafft keinen bundesrechtlichen Gerichtsstand am Wohnsitz des Beklagten, sondern regelt einzig die örtliche Zuständigkeit für den Fall, dass der Beklagte nicht in der Schweiz wohnt (Erw. 4). 3. Art. 59 BV, Art. 49 Satz 2 OG. Die verfassungsrechtliche Bestimmung dient einzig dem Schutz des Beklagten. Ihre Verletzung kann mit der staatsrechtlichen Beschwerde, nicht aber mit der Berufung geltend gemacht werden (Erw. 5). 4. Fragen des Bundesrechts, die vom kantonalen Richter bloss vorfrageweise, vor Anwendung des kantonalen Verfahrensrechtes entschieden werden, können nicht Gegenstand einer Berufung sein. Der Rechtsirrtum über eine Vorfrage des Bundesrechts verletzt dieses nur, wenn der kantonale Gesetzgeber darauf Rücksicht nehmen musste (Erw. 6). 5. Prorogationsabreden richten sich auch dann nach kantonalem Recht, wenn sie von einer nachgiebigen Regel des Bundesrechts über den Gerichtsstand abweichen (Erw. 7).</w:t>
      </w:r>
    </w:p>
    <w:p>
      <w:r>
        <w:t>Regeste 1. Art. 43 et 49 OJ. Le recours en réforme dirigé contre des décisions incidentes ou préjudicielles sur la compétence territoriale n'est possible que pour violation de prescriptions de droit fédéral sur la compétence territoriale (consid. 2). 2. Art. 5 al. 1 LCD. Cette disposition légale ne crée pas un for fondé sur le droit fédéral au domicile du défendeur; elle règle uniquement la compétence territoriale pour le cas où le défendeur n'est pas domicilié en Suisse (consid. 4). 3. Art. 59 Cst., art. 49 deuxième phrase OJ. L'art. 59 Cst. est destiné uniquement à protéger le défendeur. La violation de cette disposition constitutionnelle peut être invoquée par recours de droit public et non par recours en réforme (consid. 5). 4. Des questions de droit fédéral tranchées par l'autorité cantonale seulement comme questions préjudicielles à l'application du droit de procédure cantonal ne peuvent faire l'objet de critiques dans la procédure du recours en réforme. La solution erronée d'une question préjudicielle de droit fédéral ne viole ce droit que si le législateur cantonal devait en tenir compte (consid. 6). 5. Les clauses de prorogation de for sont régies par le droit cantonal également si elles dérogent à une règle dispositive du droit fédéral sur le for (consid. 7).</w:t>
      </w:r>
    </w:p>
    <w:p>
      <w:r>
        <w:t>Regesto 1. Art. 43 e 49 OG. Il ricorso per riforma diretto contro decisioni incidentali o pregiudiziali sulla competenza territoriale è ammissibile solo per violazione di prescrizioni di diritto federale sulla competenza territoriale (consid. 2). 2. Art. 5 cpv. 1 LCSl. Tale norma non crea un foro fondato sul diritto federale al domicilio del convenuto ma regola unicamente la competenza territoriale per il caso in cui il convenuto non è domiciliato in Svizzera (consid. 4). 3. Art. 59 Cost., art. 49 seconda frase OG. Questo disposto costituzionale è destinato unicamente alla tutela del convenuto. La sua violazione può essere fatta valere con un ricorso di diritto pubblico e non con un ricorso per riforma (consid. 5). 4. Questioni di diritto federale risolte dall'autorità cantonale solo quali pregiudiziali all'applicazione del diritto processuale cantonale non possono fare oggetto di censure nella procedura del ricorso per riforma. L'erroneo giudizio su di una questione pregiudiziale di diritto federale viola quest'ultimo solo se il legislatore cantonale doveva tenerne conto (consid. 6). 5. Le clausole di proroga del foro sono rette dal diritto cantonale anche se derogano a una norma di diritto federale dispositivo sul foro (consid. 7).</w:t>
      </w:r>
    </w:p>
    <w:p>
      <w:pPr>
        <w:pStyle w:val="Heading2"/>
      </w:pPr>
      <w:r>
        <w:t>Erwägungen</w:t>
      </w:r>
    </w:p>
    <w:p>
      <w:r>
        <w:rPr>
          <w:b/>
        </w:rPr>
        <w:t>E. 1</w:t>
      </w:r>
    </w:p>
    <w:p>
      <w:r>
        <w:t>Art. 43 und 49 OG . Gegen einen Zwischen- oder Vorentscheid über die örtliche Zuständigkeit ist die Berufung nur zulässig wegen Verletzung von bundesrechtlichen Vorschriften über die örtliche Zuständigkeit (Erw. 2).</w:t>
      </w:r>
    </w:p>
    <w:p>
      <w:r>
        <w:rPr>
          <w:b/>
        </w:rPr>
        <w:t>E. 2</w:t>
      </w:r>
    </w:p>
    <w:p>
      <w:r>
        <w:t>Art. 5 Abs. 1 UWG . Diese Bestimmung schafft keinen bundesrechtlichen Gerichtsstand am Wohnsitz des Beklagten, sondern regelt einzig die örtliche Zuständigkeit für den Fall, dass der Beklagte nicht in der Schweiz wohnt (Erw. 4).</w:t>
      </w:r>
    </w:p>
    <w:p>
      <w:r>
        <w:rPr>
          <w:b/>
        </w:rPr>
        <w:t>E. 3</w:t>
      </w:r>
    </w:p>
    <w:p>
      <w:r>
        <w:t>Art. 59 BV , Art. 49 Satz 2 OG . Die verfassungsrechtliche Bestimmung dient einzig dem Schutz des Beklagten. Ihre Verletzung kann mit der staatsrechtlichen Beschwerde, nicht aber mit der Berufung geltend gemacht werden (Erw. 5).</w:t>
      </w:r>
    </w:p>
    <w:p>
      <w:r>
        <w:rPr>
          <w:b/>
        </w:rPr>
        <w:t>E. 4</w:t>
      </w:r>
    </w:p>
    <w:p>
      <w:r>
        <w:t>Fragen des Bundesrechts, die vom kantonalen Richter bloss vorfrageweise, vor Anwendung des kantonalen Verfahrensrechtes entschieden werden, können nicht Gegenstand einer Berufung sein. Der Rechtsirrtum über eine Vorfrage des Bundesrechts verletzt dieses nur, wenn der kantonale Gesetzgeber darauf Rücksicht nehmen musste (Erw. 6).</w:t>
      </w:r>
    </w:p>
    <w:p>
      <w:r>
        <w:rPr>
          <w:b/>
        </w:rPr>
        <w:t>E. 5</w:t>
      </w:r>
    </w:p>
    <w:p>
      <w:r>
        <w:t>A ragione l'attrice non si richiama all' art. 59 Cost. Tale disposto costituzionale non crea infatti un foro di diritto federale al domicilio del convenuto, ma fissa unicamente i limiti della giurisdizione dei cantoni e degli stati esteri ( DTF 81 I 338 , DTF 84 II 43 , DTF 96 III 136 ). L' art. 59 Cost. è destinato unicamente alla tutela del convenuto. Questi può rinunciare alla garanzia costituzionale del foro del domicilio, eleggendo un foro convenzionale o lasciandosi convenire senza riserve davanti ad un giudice differente da quello del proprio domicilio (cfr. DTF 52 I 268 , DTF 57 I 11 , DTF 59 I 23 , DTF 71 I 26 , DTF 75 I 34 , DTF 84 I 36 , DTF 85 I 150 , DTF 87 I 51 , DTF 91 I 14 , DTF 93 I 327 ). Nella concreta fattispecie il convenuto ha rinunciato alla garanzia dell' art. 59 Cost. , postulando in causa che il Tribunale di appello dichiari la propria incompetenza ratione loci. D'altro canto, la violazione di tale disposto costituzionale avrebbe dovuto essere fatta valere con un ricorso di diritto pubblico (art. 49 seconda frase OG).</w:t>
      </w:r>
    </w:p>
    <w:p>
      <w:r>
        <w:rPr>
          <w:b/>
        </w:rPr>
        <w:t>E. 6</w:t>
      </w:r>
    </w:p>
    <w:p>
      <w:r>
        <w:t>La Corte cantonale ha negato la competenza della giurisdizione ticinese ritenendo che l'azione tendente alla cessazione di atti concorrenziali, in quanto fondata sulla LCSl, fosse improponibile, disponendo l'attrice di analoga azione, fondata però su di un contratto, proponibile al foro convenzionale di Ginevra. La pertinenza di tale motivazione dipende dalla questione di sapere se un'azione di cessazione di atti concorrenziali fondata su disposizioni contrattuali escluda o meno un'analoga azione fondata sulle norme della LCSl ( art. 2 cpv. 1 lett. b LCSl ). Tale questione, di diritto federale, si poneva però all'istanza cantonale solo quale pregiudiziale all'applicazione del diritto processuale cantonale: essa non può pertanto fare oggetto di censure nell'ambito della procedura del ricorso per riforma. L'erroneo giudizio su di una questione pregiudiziale di diritto federale viola quest'ultimo solo se il legislatore cantonale doveva tenerne conto ( DTF 80 II 183 , DTF 84 II 133 , DTF 85 II 364 , DTF 96 II 63 , DTF 101 II 170 consid. 2). Ciò non è il caso nella concreta fattispecie.</w:t>
      </w:r>
    </w:p>
    <w:p>
      <w:r>
        <w:rPr>
          <w:b/>
        </w:rPr>
        <w:t>E. 7</w:t>
      </w:r>
    </w:p>
    <w:p>
      <w:r>
        <w:t>Neppure il fatto che il contratto di lavoro che regola il divieto di concorrenza contenga una clausola di proroga del foro perfeziona una violazione del diritto federale. Tali clausole BGE 102 II 389 S. 394 sono rette dal diritto cantonale anche quando, ciò che non si verifica nella fattispecie, derogano a una norma di diritto federale dispositivo sul foro ( DTF 56 II 387 , 57 II 115, 76 II 249, 87 III 27, 96 II 430).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