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305</w:t>
      </w:r>
    </w:p>
    <w:p>
      <w:r>
        <w:t>Bundesgericht (BGE), 1976-01-01, DE</w:t>
      </w:r>
    </w:p>
    <w:p>
      <w:r>
        <w:rPr>
          <w:b/>
        </w:rPr>
        <w:t xml:space="preserve">Quelle: </w:t>
      </w:r>
      <w:r>
        <w:t>https://mcp.opencaselaw.ch/entscheid/bge_BGE_102_II_305</w:t>
      </w:r>
    </w:p>
    <w:p>
      <w:r>
        <w:t>FR: ATF 102 II 305</w:t>
      </w:r>
    </w:p>
    <w:p>
      <w:r>
        <w:t>IT: DTF 102 II 305</w:t>
      </w:r>
    </w:p>
    <w:p>
      <w:pPr>
        <w:pStyle w:val="Heading2"/>
      </w:pPr>
      <w:r>
        <w:t>Regeste</w:t>
      </w:r>
    </w:p>
    <w:p>
      <w:r>
        <w:t>Regeste Namensschutz; Art. 29 Abs. 2 ZGB. Namensanmassung durch Verwendung eines fremden Namens zur Bezeichnung eines Geschäfts. Der Namensträger kann auch durch eine Beeinträchtigung rein ideeller Natur in seinen schutzwürdigen Interessen verletzt sein. Eine solche ist gegeben, wenn der Namensträger durch die Verwendung seines Namens in eine nicht vorhandene Beziehung zu Personen oder Sachen gebracht wird, die er ablehnt und vernünftigerweise auch ablehnen darf. Muss der unvoreingenommene ortsansässige Betrachter nicht annehmen, dass zwischen dem Geschäft und dem Namensträger eine Beziehung besteht, ist dieser in seinen Interessen nicht verletzt.</w:t>
      </w:r>
    </w:p>
    <w:p>
      <w:r>
        <w:t>Regeste Protection du nom; art. 29 al. 2 CC. Usurpation de nom par l'emploi d'un nom étranger pour la désignation d'un commerce. Le titulaire du nom peut aussi être lésé par une atteinte de nature purement idéale à ses intérêts dignes de protection. Une telle atteinte est réalisée lorsque l'emploi du nom suscite entre le titulaire et des personnes ou des choses une relation qui n'existe pas, que le titulaire n'admet pas et qu'il est aussi fondé, raisonnablement, à ne pas admettre. S'il n'existe pas, aux yeux de l'observateur local non prévenu, de relation entre le commerce et le titulaire du nom, celui-ci n'est pas lésé dans ses intérêts.</w:t>
      </w:r>
    </w:p>
    <w:p>
      <w:r>
        <w:t>Regesto Protezione del nome; art. 29 cpv. 2 CC. Usurpazione di nome mediante l'uso del nome di terzi per la designazione di un commercio. Il titolare del nome può essere leso nei suoi interessi degni di protezione anche da un pregiudizio di natura meramente ideale. Un pregiudizio di tal sorta è realizzato quando l'uso del nome evoca, con persone o cose, una relazione inesistente, non ammessa e ragionevolmente non ammissibile per il titolare del nome. Se, agli occhi dell'osservatore locale non prevenuto, non esistono relazioni tra il commercio e il titolare del nome, questi non è leso nei propri interessi.</w:t>
      </w:r>
    </w:p>
    <w:p>
      <w:pPr>
        <w:pStyle w:val="Heading2"/>
      </w:pPr>
      <w:r>
        <w:t>Erwägungen</w:t>
      </w:r>
    </w:p>
    <w:p>
      <w:r>
        <w:rPr>
          <w:b/>
        </w:rPr>
        <w:t>E. 1</w:t>
      </w:r>
    </w:p>
    <w:p>
      <w:r>
        <w:t>Gegenstand des Prozesses bildet der sich aus dem Namensrecht des Klägers ergebende Abwehranspruch (Beseitigungs- bzw. Unterlassungsanspruch). Dieser ist nicht vermögensrechtlicher Natur, weshalb die Berufung an das Bundesgericht gemäss Art. 44 OG ohne Rücksicht auf allfällige Vermögensinteressen zulässig ist ( BGE 95 II 486 E. 1).</w:t>
      </w:r>
    </w:p>
    <w:p>
      <w:r>
        <w:rPr>
          <w:b/>
        </w:rPr>
        <w:t>E. 2</w:t>
      </w:r>
    </w:p>
    <w:p>
      <w:r>
        <w:t>Wird jemand dadurch beeinträchtigt, dass ein anderer sich seinen Namen anmasst, so steht ihm nach Art. 29 Abs. 2 ZGB ein vom Verschulden unabhängiger Unterlassungsanspruch zu. Der Gesetzeswortlaut ist insofern zu eng, als nur von der Unterlassung einer Namensanmassung die Rede ist. Selbstverständlich will damit der Anspruch auf Beseitigung einer noch andauernden Verletzung des Namensrechts wie z.B. auf Entfernung der Inschrift am Schaufenster eines Ladens nicht ausgeschlossen werden. Eine Namensanmassung kann sodann nach der Rechtsprechung und der Lehre auch darin bestehen, dass jemand den Namen eines andern unbefugterweise nicht zur Bezeichnung seiner eigenen Person, sondern zur Kennzeichnung einer Sache (z.B. einer Zeitschrift, eines Gerätes oder eines Geschäftsbetriebs) verwendet ( BGE 80 II 140 E. 1; BGE 87 II 111 E. 4; BGE 90 II 467 (Nr. 51); EGGER, N. 17 zu Art. 29 ZGB ; GROSSEN, in Schweiz. Privatrecht, Bd. II, S. 340/341; AISSLINGER, Der Namensschutz nach Art. 29 ZGB , Zürcher Diss. 1948, S. 28). Der Kläger kann sich daher grundsätzlich auf Art. 29 Abs. 2 ZGB BGE 102 II 305 S. 308 berufen, um eine Verletzung seines Namensrechtes, wie sie seiner Auffassung nach im Gebrauch des Namens "Abraham" zur Bezeichnung des von der Beklagten geführten Antiquitätenladens zu erblicken ist, zu beseitigen oder zu verhindern. Entgegen der in der Berufungsantwort vertretenen Auffassung richtet sich das Klagebegehren nicht nur gegen die Aufschrift auf dem Schaufenster, sondern gegen die Verwendung des Namens Abraham für den Geschäftsbetrieb der Beklagten ganz allgemein, wozu auch die Reklame gehört. Die Vorinstanz ist zutreffend davon ausgegangen, dass nur derjenige den Namensschutz des Art. 29 ZGB beanspruchen kann, der hiefür ein schutzwürdiges Interesse geltend zu machen vermag. Das ergibt sich nicht nur aus dem allgemeinen Grundsatz, dass jede Klage ein entsprechendes Rechtsschutzinteresse voraussetzt (EGGER, N. 20 zu Art. 29 ZGB ), sondern unmittelbar aus dem Gesetz selbst: Art. 29 Abs. 2 ZGB verleiht nur demjenigen ein Klagerecht, der durch eine Namensanmassung beeinträchtigt (französisch: lésé) wird ( BGE 45 II 626 /627 E. 3). Das kann nichts anderes bedeuten, als dass der Gebrauch eines fremden Namens durch einen dazu nicht Berechtigten an sich noch nicht ausreicht, um die gesetzlich vorgesehenen Ansprüche auszulösen. Wer sich auf Art. 29 Abs. 2 ZGB berufen will, muss vielmehr dartun können, dass die in Frage stehende Namensverwendung seine Interessen wirklich und nicht nur dem Scheine nach verletzt. Allerdings ist nicht etwa erforderlich, dass Interessen vermögensrechtlicher Natur auf dem Spiele stehen. Es genügt durchaus die Beeinträchtigung rein ideeller Belange, die nach der Lehre und der Rechtsprechung namentlich dann vorliegt, wenn eine Verwechslungsgefahr besteht ( BGE 80 II 145 ; EGGER, N. 21 zu Art. 29 ZGB ) oder wenn ein Namensträger durch Gedankenverbindungen in nicht vorhandene Beziehungen hineingestellt wird, die er ablehnt und vernünftigerweise auch ablehnen darf ( BGE 72 II 150 ; BGE 80 II 147 ; BGE 90 II 466 ; EGGER, a.a.O. N. 17).</w:t>
      </w:r>
    </w:p>
    <w:p>
      <w:r>
        <w:rPr>
          <w:b/>
        </w:rPr>
        <w:t>E. 3</w:t>
      </w:r>
    </w:p>
    <w:p>
      <w:r>
        <w:t>Der Kläger macht nicht geltend, dass eine Verwechslungsgefahr bestehe. Das fällt schon deshalb ausser Betracht, weil die Beklagte den Namen "Abraham" nicht für sich selber, sondern lediglich zur Bezeichnung ihres Ladengeschäftes gebraucht. Der Kläger erblickt eine Beeinträchtigung seiner Interessen vielmehr darin, dass unvoreingenommene Betrachter BGE 102 II 305 S. 309 annehmen könnten, es bestehe zwischen dem Laden der Beklagten und der in Zürich ansässigen Familie Abraham, der er angehört, eine Beziehung. a) Für die Beurteilung der Frage, welche Gedankenassoziationen durch eine bestimmte Namensverwendung geweckt werden, ist auf den Eindruck und die Reaktionsweise des Publikums abzustellen. Der Kläger vertritt selber diese Auffassung, wenn er ausführen lässt, entscheidend sei nicht, was sich die Beklagte bei der Wahl des Namens "Abraham" als Geschäftsbezeichnung gedacht habe, sondern welche Gedankenassoziation beim Aussenstehenden durch diesen Namen hervorgerufen werde. Bei einem Ladengeschäft von bloss lokaler Bedeutung wie demjenigen der Beklagten kommt es darauf an, welche Gedankenverbindung die Geschäftsbezeichnung "Abraham" beim zürcherischen Publikum auslöst. Dies vermag nur der ortsansässige Richter zuverlässig zu beurteilen. Die Vorinstanz hat diesbezüglich ausgeführt, der Familienname des Klägers habe nicht eine derart grosse Kennzeichnungskraft erlangt, dass bei der Verwendung des Namens "Abraham" in Zürich oder in der Schweiz nicht mehr an den Urträger dieses Namens, sondern ohne weiteres an den Kläger und dessen Familie gedacht würde. Man kann sich fragen, ob in dieser Aussage nicht eine für das Bundesgericht verbindliche Feststellung tatsächlicher Natur mitenthalten sei, des Inhalts, dass das Zürcher Publikum die von der Beklagten verwendete Geschäftsbezeichnung nicht unmittelbar mit dem Familiennamen des Klägers in Verbindung bringe. Zur Beurteilung der Individualisierungskraft eines Namens in einem örtlich beschränkten Bevölkerungskreis sind jedenfalls auch Kenntnisse faktischer Art erforderlich, über die in der Regel nur der Tatsachenrichter verfügt. Das Bundesgericht hat sich deshalb in dieser Hinsicht Zurückhaltung aufzuerlegen und seine Prüfung darauf zu beschränken, ob die kantonale Instanz von zutreffenden rechtlichen Vorstellungen ausgegangen ist. b) Der Kläger wendet sich dagegen, dass der vorliegende Fall mit dem Entscheid des Bundesgerichts in BGE 92 II 305 ff. (betreffend den Vornamen "Sheila", den eine französische Sängerin als Pseudonym gewählt hatte) verglichen werde. Er macht geltend, dass ein durch Geburt erworbener Familienname mit einem freigewählten Pseudonym BGE 102 II 305 S. 310 nicht vergleichbar sei und dass der Name "Abraham" überdies nicht im gleichen Sinne geistiges Gemeingut darstelle wie der Vorname "Sheila". Die Vorinstanz hat sich auf das zitierte Bundesgerichtsurteil indessen nur dafür berufen, dass der Schutz eines als geistiges Gemeingut zu betrachtenden Namens vom Nachweis abhange, dieser Name vermöge den als Kläger auftretenden Namensträger trotzdem noch in genügendem Masse zu kennzeichnen. Gegen eine solche Heranziehung des betreffenden Entscheides ist entgegen der Auffassung des Klägers nichts einzuwenden. Wer einen Namen trägt, der weit verbreitet ist oder geistiges Gemeingut darstellt, kann in der Tat ein ausschliessliches Recht auf den Namensgebrauch nur insoweit beanspruchen, als dieser Name allgemein auf ihn bezogen zu werden pflegt. Dem Kläger mag eingeräumt werden, dass die Vorinstanz zu weit gegangen ist, wenn sie geradezu den Nachweis verlangte, dass ein solcher Name ausschliesslich mit dem als Kläger auftretenden Namensträger und dessen Familie in Verbindung gebracht werde. Es muss für den Nachweis der Beeinträchtigung schutzwürdiger Interessen genügen, dass eine nicht geringe Gefahr besteht, ein Namensträger werde durch eine bestimmte Verwendung seines Namens oftmals in Gedankenverbindung zu Sachen oder Personen gebracht, zu denen er weder eine Beziehung hat noch haben will. Nicht zu überzeugen vermag der Unterschied, den der Kläger unter dem Gesichtspunkt der Kennzeichnungskraft zwischen einem Vornamen wie "Sheila" und dem auch nach seiner Auffassung als geistiges Gemeingut zu betrachtenden Namen "Abraham" machen will. Ob dieser Name in der Schweiz als jüdisch empfunden wird, wie in der Berufungsschrift geltend gemacht wird, ist ebenfalls nicht erheblich. Wesentlich ist einzig und allein, dass das Wort "Abraham" in der Schweiz viel eher auf den alttestamentarischen Urträger dieses Namens bezogen als mit dem gleichlautenden Familiennamen in Verbindung gebracht wird. Dass dies, wie dem angefochtenen Urteil zu entnehmen ist, jedenfalls für Zürich zutrifft, vermochte der Kläger nicht zu widerlegen. Ist aber den meisten Leuten in Zürich der Familienname "Abraham" kein Begriff, so wird der Laden der Beklagten entgegen der Behauptung des Klägers auch durch die Bezeichnung "Antiquitäten Abraham" nicht mit der Familie gleichen Namens in BGE 102 II 305 S. 311 Beziehung gesetzt. Wenn sich diese vom Kläger befürchtete Gedankenassoziation wenigstens in aller Regel nicht einstellt, kann der Vorinstanz keine Verletzung von Bundesrecht vorgeworfen werden, weil sie dem Kläger ein schutzwürdiges Interesse abgesprochen hat. c) Der Kläger hat im vorinstanzlichen Verfahren sein Interesse am Schutz der Klage auch durch den Hinweis auf die bundesgerichtliche Rechtsprechung, die in Anwendung von Art. 30 Abs. 3 ZGB ergangen ist, zu stützen versucht. Das Bundesgericht hat auf Grund der betreffenden Bestimmung eine Anzahl von Klagen gegen die Bewilligung von Namensänderungen geschützt, indem es den Ausschliesslichkeitsanspruch der Träger sehr angesehener und seltener Namen über das Interesse an der freien Wahl des gleichen Namens stellte (vgl. BGE 52 II 103 ff. betreffend den Namen "Eynard"; BGE 60 II 387 ff. betreffend den Namen "Dedual"; BGE 67 II 191 ff. betreffend den Namen "Segesser"; BGE 72 II 145 ff. betreffend den Namen "Surava"). Es bezeichnete die im Familiennamen zum Ausdruck gelangende Zugehörigkeit zu einer bestimmten Familie als ein schutzwürdiges Rechtsgut, sofern die Träger eines solchen Namens ohne weiteres mit einer Familie von besonderer Berühmtheit oder von besonderem Ansehen in Beziehung gebracht würden (so insbesondere BGE 52 II 106 ff. E. 2). In BGE 72 II 151 wurde dann allerdings einschränkend ausgeführt, es könne für den Namensschutz nicht darauf ankommen, ob ein Name ein besonders hohes Ansehen geniesse; es müsse vielmehr genügen, dass ein Name durch seine relative Seltenheit charakteristisch sei. Der Kläger beruft sich vor allem auf diesen letzten Entscheid und macht geltend, in Zürich gebe es nur eine namhafte Familie Abraham; deren Name sei sowohl aus diesem Grund als auch mit Rücksicht auf seinen in der Schweiz fremden Klang als schutzwürdig zu betrachten. Der Unterschied zu den erwähnten Fällen besteht jedoch, wie die Vorinstanz mit Recht hervorgehoben hat, darin, dass es sich beim Namen "Abraham" nicht nur um einen relativ seltenen Familiennamen, sondern gleichzeitig um den Namen einer bestbekannten biblischen Gestalt und um einen Vornamen handelt. Unter diesen Umständen müsste dargetan werden können, dass der Familienname "Abraham" in Zürich BGE 102 II 305 S. 312 trotzdem eine entsprechend grosse, die allgemeine Bedeutung des Wortes verdrängende Kennzeichnungskraft erlangt hat. An dieser Voraussetzung fehlt es aber im vorliegenden Fall, hält doch das angefochtene Urteil fest, dass die Verwendung des Wortes "Abraham" in Zürich nicht ohne weiteres an den Kläger und dessen Familie denken lasse. Gegen diese Feststellung des ortsansässigen Richters vermag die klägerische Argumentation nicht aufzukommen. Insbesondere ist mangels einer Beeinträchtigung des Namensrechts des Klägers nicht darauf abzustellen, wie gross das Interesse der Beklagten an der Verwendung des Wortes "Abraham" ist und ob die von ihr gewählte Geschäftsbezeichnung dem geistigen Ursprung dieses Wortes gerecht zu werden vermag. d) Schliesslich macht der Kläger geltend, eine Verletzung seines Namensrechts und seiner persönlichen Verhältnisse ganz allgemein sei auch darin zu erblicken, dass der altehrwürdige Name "Abraham" zur Bezeichnung eines Trödelladens gebraucht werde; als Träger dieses biblischen Namens müsse er sich eine derartige Namensverwendung nicht gefallen lassen. Die Vorinstanz hat eine Verletzung des Klägers in seinen persönlichen Verhältnissen verneint und in diesem Zusammenhang ausgeführt, der Kläger habe eine solche mit Recht auch nicht geltend gemacht. Letzteres wird in der Berufungsschrift als offensichtlich auf Versehen beruhend bestritten. Wie es sich damit verhält, kann jedoch offen bleiben, denn die Vorinstanz hat die Frage materiell geprüft und in einer Weise beantwortet, die vor dem Bundesrecht standzuhalten vermag. Eine Verletzung des Klägers in seinen persönlichen Verhältnissen würde voraussetzen, dass der Name "Abraham" in einer Weise verwendet worden wäre, die von jedem Träger dieses Namens als geradezu kränkend empfunden werden müsste. Davon kann hier keine Rede sein. Im angefochtenen Urteil wird festgestellt, dass weder die Art der im Laden der Beklagten zum Kauf angebotenen Waren noch der Standort des Geschäftes geeignet seien, negative Gedankenverbindungen auszulösen. Entgegen der Auffassung des Klägers war die Vorinstanz in der Lage, hierüber tatbeständliche Feststellungen zu treffen, ohne einen Augenschein durchzuführen, mussten ihr doch der Standort und die Art des Geschäftes, das sich in ihrer nähern Umgebung befindet, bekannt sein. Hat aber BGE 102 II 305 S. 313 die Verwendung des Namens "Abraham" durch die Beklagte nichts Stossendes an sich, fehlt es an einem persönlichkeitsverletzenden Verhalten, gegen das sich der Kläger gestützt auf Art. 29 Abs. 2 oder Art. 28 Abs. 1 ZGB zur Wehr setzen könnte. Dass der Kläger den Gebrauch des Namens "Abraham" zur Bezeichnung eines Antiquitätenladens als unpassend und ungehörig empfindet, reicht für die Anwendung der Bestimmungen über den privatrechtlichen Schutz der Persönlichkeit nicht 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