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193</w:t>
      </w:r>
    </w:p>
    <w:p>
      <w:r>
        <w:t>Bundesgericht (BGE), 1976-01-01, DE</w:t>
      </w:r>
    </w:p>
    <w:p>
      <w:r>
        <w:rPr>
          <w:b/>
        </w:rPr>
        <w:t xml:space="preserve">Quelle: </w:t>
      </w:r>
      <w:r>
        <w:t>https://mcp.opencaselaw.ch/entscheid/bge_BGE_102_II_193</w:t>
      </w:r>
    </w:p>
    <w:p>
      <w:r>
        <w:t>FR: ATF 102 II 193</w:t>
      </w:r>
    </w:p>
    <w:p>
      <w:r>
        <w:t>IT: DTF 102 II 193</w:t>
      </w:r>
    </w:p>
    <w:p>
      <w:pPr>
        <w:pStyle w:val="Heading2"/>
      </w:pPr>
      <w:r>
        <w:t>Regeste</w:t>
      </w:r>
    </w:p>
    <w:p>
      <w:r>
        <w:t>Regeste Klage auf Ungültigerklärung einer letztwilligen Verfügung; Verjährung (Art. 521 Abs. 1 ZGB). Die Einjahresfrist des Art. 521 Abs. 1 ZGB ist nicht eine Verjährungs-, sondern eine Verwirkungsfrist (Erw. 2) (Bestätigung der Rechtsprechung). Sie gilt auch für Kläger, die mit dem Beklagten Gesamteigentümer und Mitbesitzer der Erbschaft sind und sich somit begnügen könnten, die Ungültigkeit des Testaments gestützt auf Art. 521 Abs. 3 ZGB (jederzeit) einredeweise geltend zu machen (Erw. 3).</w:t>
      </w:r>
    </w:p>
    <w:p>
      <w:r>
        <w:t>Regeste Action en nullité d'une disposition pour cause de mort; prescription (art. 521 al. 1 CC). Le délai d'un an de l'art. 521 al. 1 CC n'est pas un délai de prescription, mais un délai de péremption (consid. 2) (confirmation de la jurisprudence). Il doit être observé également par des demandeurs qui sont copropriétaires et copossesseurs de la succession avec le défendeur et qui, partant, pouvaient, en se fondant sur l'art. 521 al. 3 CC, se contenter d'opposer (en tout temps) la nullité du testament par voie d'exception (consid. 3).</w:t>
      </w:r>
    </w:p>
    <w:p>
      <w:r>
        <w:t>Regesto Azione di nullità di una disposizione per causa di morte (art. 521 cpv. 1 CC). Il termine di un anno dell'art. 521 cpv. 1 CC non è un termine di prescrizione ma un termine di perenzione (consid. 2) (conferma della giurisprudenza). Esso vale anche per attori che sono comproprietari e possiedono l'eredità in comune con il convenuto e che, pertanto, potevano, fondandosi sull'art. 521 cpv. 3 CC, limitarsi a far valere (in ogni tempo) la nullità del testamento in via di eccezione (consid. 3).</w:t>
      </w:r>
    </w:p>
    <w:p>
      <w:pPr>
        <w:pStyle w:val="Heading2"/>
      </w:pPr>
      <w:r>
        <w:t>Erwägungen</w:t>
      </w:r>
    </w:p>
    <w:p>
      <w:r>
        <w:rPr>
          <w:b/>
        </w:rPr>
        <w:t>E. 1</w:t>
      </w:r>
    </w:p>
    <w:p>
      <w:r>
        <w:t>Gegenstand des Berufungsverfahrens ist einzig das Klagebegehren auf Feststellung der Ungültigkeit von Ziffer 3 Satz 1 der letztwilligen Verfügung des Erblassers, worin dem Beklagten das Recht eingeräumt wird, das zum väterlichen Nachlass gehörende Wohnhaus samt Umschwung für Fr. 15'000.-- käuflich zu erwerben. Der Beklagte macht zur Begründung seiner Berufung vorab geltend, die Klägerinnen hätten ihren Klageanspruch verwirkt, da sie die einjährige Klagefrist nicht gewahrt hätten.</w:t>
      </w:r>
    </w:p>
    <w:p>
      <w:r>
        <w:rPr>
          <w:b/>
        </w:rPr>
        <w:t>E. 2</w:t>
      </w:r>
    </w:p>
    <w:p>
      <w:r>
        <w:t>Gemäss Art. 521 Abs. 1 ZGB verjährt die Ungültigkeitsklage mit Ablauf eines Jahres, von dem Zeitpunkt an gerechnet, da der Kläger von der Verfügung und dem Ungültigkeitsgrund Kenntnis erhalten hat, und in jedem Falle mit Ablauf von zehn Jahren, vom Tage der Eröffnung der Verfügung an gerechnet. a) Nach den für das Bundesgericht verbindlichen Feststellungen der Vorinstanz begann die einjährige Frist am 12. März 1969 (an dem der Testamentseröffnung folgenden Tag) BGE 102 II 193 S. 196 zu laufen. Das erste Sühnebegehren der Klägerinnen ging beim zuständigen Friedensrichteramt am 6. Februar 1970 ein. Damit hätte die einjährige Klagefrist gewahrt werden können, zumal nach aargauischem Prozessrecht ( § § 6 und 7 ZPO ) für Erbstreitigkeiten ein Vermittlungsverfahren zwingend vorgeschrieben ist und zwischen diesem und dem eigentlichen Gerichtsverfahren in dem Sinne ein Zusammenhang besteht, als der Kläger den Streit spätestens sechs Monate nach dem Vermittlungsversuch (§ 106 Abs. 2 aarg. ZPO) vor den zuständigen Richter zu tragen hat (vgl. dazu BGE 98 II 181 Erw. 11 mit Hinweisen). Letzteres haben die Klägerinnen indessen unterlassen, so dass das Weisungszeugnis vom 14. Februar 1970 seine prozessrechtliche Wirkung verlor (vgl. EICHENBERGER, Beiträge zum Aargauischen Zivilprozessrecht, S. 121; KELLER/PFISTERER, Die Zivilprozessordnung für den Kanton Aargau, 3. A., N. 11 zu § 106). b) Ein Vermittlungsbegehren kann nur dann im Sinne der hievor angeführten bundesgerichtlichen Praxis als Klageanhebung gelten, wenn im Anschluss an das Sühneverfahren innert der vom kantonalen Prozessrecht gesetzten Frist beim zuständigen Richter auch Klage erhoben wird (vgl. BGE 98 II 181 und 182). Die Anrufung des Friedensrichters konnte aber andererseits auch nicht eine Unterbrechung der Klagefrist bewirken, handelt es sich doch bei dieser - wie das Bundesgericht in BGE 98 II 177 ff. unter Hinweis auf ein früheres Urteil ( BGE 86 II 340 ff.) dargetan hat - nicht um eine Verjährungs-, sondern um eine Verwirkungsfrist, auf die die Bestimmungen der Art. 135 ff. OR ohnehin keine Anwendung finden können (a.a.O. S. 181 Erw. 10). Wohl haben sich die Klägerinnen am 15. Februar 1971 ein zweites Mal an den Friedensrichter gewandt, doch war die Einjahresfrist damals abgelaufen. Die kantonalen Instanzen haben daher die auf dem Weisungszeugnis vom 4. März 1971 beruhende Klage zu Unrecht als nicht verjährt betrachtet.</w:t>
      </w:r>
    </w:p>
    <w:p>
      <w:r>
        <w:rPr>
          <w:b/>
        </w:rPr>
        <w:t>E. 3</w:t>
      </w:r>
    </w:p>
    <w:p>
      <w:r>
        <w:t>In der Berufungsantwort führen die Klägerinnen aus, die Frage der Verjährung bzw. Verwirkung der Klage sei nur für nichtbesitzende Erben von Bedeutung; sie aber seien mit dem Beklagten Gesamteigentümer und Mitbesitzer der Erbschaft und daher auf die Ungültigkeitsklage nicht angewiesen. Sie wollen sich damit offenbar auf Art. 521 Abs. 3 ZGB stützen, wonach die Ungültigkeit einer letztwilligen Verfügung einredeweise jederzeit geltend gemacht werden kann. BGE 102 II 193 S. 197 Allein, dieser Hinweis ist unbehelflich, da die Klägerinnen nicht behaupten können und auch nicht behaupten, sie beriefen sich zur Verteidigung gegen einen vom Beklagten geltend gemachten Anspruch auf die Ungültigkeit des Testaments. Geklagt haben ja ausschliesslich sie. Der Beklagte beschränkte sich stets darauf, der Klage seiner Schwestern mit dem Antrag zu begegnen, es sei darauf nicht einzutreten. Namentlich hat er im Prozess nie geltend gemacht, er wolle von dem ihm in der letztwilligen Verfügung eingeräumten Recht Gebrauch machen, das zum väterlichen Nachlass gehörende Wohnhaus für Fr. 15'000.-- zu kaufen. Angesichts der klaren gesetzlichen Regelung ginge es aber auch nicht an, die Ungültigkeitsklage dort zeitlich uneingeschränkt zuzulassen, wo sie von mitbesitzenden und somit auf sie nicht angewiesenen Erben erhoben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