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49</w:t>
      </w:r>
    </w:p>
    <w:p>
      <w:r>
        <w:t>Bundesgericht (BGE), 1976-07-05, DE</w:t>
      </w:r>
    </w:p>
    <w:p>
      <w:r>
        <w:rPr>
          <w:b/>
        </w:rPr>
        <w:t xml:space="preserve">Quelle: </w:t>
      </w:r>
      <w:r>
        <w:t>https://mcp.opencaselaw.ch/entscheid/bge_BGE_102_III_49</w:t>
      </w:r>
    </w:p>
    <w:p>
      <w:r>
        <w:t>FR: ATF 102 III 49</w:t>
      </w:r>
    </w:p>
    <w:p>
      <w:r>
        <w:t>IT: DTF 102 III 49</w:t>
      </w:r>
    </w:p>
    <w:p>
      <w:pPr>
        <w:pStyle w:val="Heading2"/>
      </w:pPr>
      <w:r>
        <w:t>Regeste</w:t>
      </w:r>
    </w:p>
    <w:p>
      <w:r>
        <w:t>Regeste Verwertung von Miteigentumsanteilen im Konkurs.</w:t>
      </w:r>
    </w:p>
    <w:p>
      <w:r>
        <w:t>Regeste Réalisation de parts de copropriété dans la faillite.</w:t>
      </w:r>
    </w:p>
    <w:p>
      <w:r>
        <w:t>Regesto Realizzazione di quote di comproprietà nel fallimento.</w:t>
      </w:r>
    </w:p>
    <w:p>
      <w:pPr>
        <w:pStyle w:val="Heading2"/>
      </w:pPr>
      <w:r>
        <w:t>Erwägungen</w:t>
      </w:r>
    </w:p>
    <w:p>
      <w:r>
        <w:rPr>
          <w:b/>
        </w:rPr>
        <w:t>E. 1</w:t>
      </w:r>
    </w:p>
    <w:p>
      <w:r>
        <w:t>Art. 130c Abs. 2 VZG bestimmt, dass für diesen Fall die Pfandforderungen, die das Grundstück als Ganzes belasten, mit dem auf den Gemeinschuldner entfallenden Teilbetrag, bei Solidarhaftung des Gemeinschuldners mit ihrem Gesamtbetrag, als unversicherte Forderungen zu kollozieren sind (Art. 61 Abs. 1 KV). Dabei stellt sich zunächst die Frage, ob die Konkursdividenden, die auf diese Forderungen entfallen, im Sinne von Art. 264 Abs. 3 SchKG bei der Depositenanstalt zu hinterlegen seien bis feststeht, ob und mit welchem Betrag die Pfandgläubiger durch die Verwertung des Pfandes zu Verlust kommen. Die revidierte VZG sagt nicht ausdrücklich, wie eine solche Konkursdividende zu behandeln ist. Aus dem SchKG, der KV und der VZG ergibt sich aber eindeutig folgende Lösung: a) Bei der Depositenanstalt zu hinterlegen sind nach Art. 264 Abs. 3 SchKG die Anteile (Dividenden), die den Forderungen unter aufschiebender Bedingung oder mit ungewisser Verfallzeit zukommen. Die auf fällige Forderungen entfallenden Dividenden sind sofort nach Ablauf der Frist, während welcher die Verteilungsliste und die Schlussrechnung aufzulegen sind, auszuzahlen (vgl. Art. 264 Abs. 1 SchKG ). b) Die Pfandforderungen, die das Grundstück als Ganzes belasten, stehen (unter Vorbehalt ganz ungewöhnlicher Vereinbarungen) nicht unter aufschiebender Bedingung. Ihr Bestand hängt insbesondere nicht davon ab, dass der im 2. Satzteil von Art. 130c Abs. 2 VZG genannte Fall (Ergebnislosigkeit der Einigungsverhandlung und der Versteigerung des Miteigentumsanteils) eintritt. Vielmehr ist die in Art. 130 Abs. 2 VZG vorgesehene Kollokation als solche bedingt (welche Durchbrechung des Art. 59 Abs. 2 Satz 1 KV das Bundesgericht in der VZG anordnen konnte; vgl. BGE 96 III 42 , BGE 79 III 36 ). Bei Ergebnislosigkeit der Einigungsverhandlungen und der Versteigerung wird die Kollokation zur unbedingten. Deshalb kommt nach Eintritt dieses Falles auch eine analoge Anwendung der nach Art. 264 Abs. 3 SchKG für aufschiebend bedingte Forderungen geltenden Regel nicht in Frage. c) Die Pfandforderungen, die das Grundstück als Ganzes BGE 102 III 49 S. 51 belasten, sind auch nicht Forderungen mit ungewisser Verfallzeit im Sinne von Art. 264 Abs. 3 (und Art. 210 Abs. 1) SchKG. Nach Art. 208 Abs. 1 SchKG bewirkt nämlich die Konkurseröffnung gegenüber der Konkursmasse grundsätzlich die Fälligkeit sämtlicher Schuldverpflichtungen des Gemeinschuldners, zu denen die fraglichen Pfandforderungen gehören, soweit sie den Schuldner persönlich treffen und daher nach Massgabe von Art. 130c Abs. 2 VZG zu kollozieren sind. Von dem in Art. 208 Abs. 1 SchKG aufgestellten Grundsatz nimmt diese Gesetzesbestimmung nur diejenigen Schuldverpflichtungen des Gemeinschuldners aus, "die durch seine Grundstücke pfandrechtlich gedeckt sind". Im Konkurs eines Miteigentümers sind zwar die den Miteigentumsanteil desselben, nicht aber die das Grundstück als Ganzes belastenden Pfandforderungen durch "seine" Grundstücke, d.h. durch die Grundstücke des Gemeinschuldners, pfandrechtlich gedeckt. Die Auffassung, dass Forderungen, für die im Miteigentum des Gemeinschuldners und weiterer Personen stehende Gegenstände als Pfand haften, unter dem Gesichtspunkt des Konkursrechts nicht durch dem Gemeinschuldner gehörende Gegenstände pfandrechtlich gedeckt sind, liegt auch Art. 61 Abs. 1 KV zugrunde, auf den Art. 130c Abs. 2 VZG verweist; denn nach Art. 61 Abs. 1 KV sind Gegenstände, für welche ganz oder zum Teil im Eigentum eines Dritten stehende Gegenstände (d.h. Gegenstände Dritter oder solche im gemeinschaftlichen Eigentum des Gemeinschuldners und eines Dritten; BGE 51 III 55 ) als Pfand haften, unter die unversicherten Forderungen aufzunehmen. Die Pfandforderungen, die das Grundstück als Ganzes belasten, werden also nach Art. 208 SchKG im Konkurs eines Miteigentümers gegenüber der Konkursmasse fällig, soweit der Gemeinschuldner dafür persönlich haftet. d) Nach Art. 264 Abs. 1 SchKG ist also die Dividende, die auf eine das Grundstück als Ganzes belastende, gemäss Art. 130c Abs. 2 VZG kollozierte Pfandforderung entfällt, sofort nach Ablauf der Auflegungsfrist an den Gläubiger auszuzahlen und nicht bei der Depositenanstalt zu hinterlegen.</w:t>
      </w:r>
    </w:p>
    <w:p>
      <w:r>
        <w:rPr>
          <w:b/>
        </w:rPr>
        <w:t>E. 2</w:t>
      </w:r>
    </w:p>
    <w:p>
      <w:r>
        <w:t>Für diese Lösung sprechen ausser dem Gesetzestext auch sachliche Gründe. Wenn geltend gemacht wird, das Pfandrecht am Grundstück als Ganzem bestehe nach Durchführung des Konkurses über einen Miteigentümer weiter und BGE 102 III 49 S. 52 es stehe keineswegs fest, dass die Pfandgläubiger zu Verlust kämen, so wird dabei unterstellt, dass die das Grundstück als Ganzes belastenden Pfandforderungen letztlich aus dem Erlös dieses Grundstücks zu decken sind, also nicht aus dem Vermögen, das die Miteigentümer neben ihrem Miteigentumsanteil besitzen. Dieser Auffassung kann nicht gefolgt werden. a) Für den Fall, dass eine Forderung gegen den Gemeinschuldner durch einen im Alleineigentum eines Dritten stehenden Gegenstand pfandrechtlich gesichert ist, hat das Bundesgericht in BGE 87 III 121 ausgeführt, bei Pfandbestellung aus Drittvermögen solle die Schuld in der Regel letzten Endes das Vermögen des Schuldners belasten. Daher bleibe denn auch normalerweise selbst bei voller Deckung durch den Erlös eines solchen Pfandes die Schuld unvermindert bestehen; es finde lediglich ein Übergang der Gläubigerrechte auf den Dritten statt, sei es, dass das ihm gehörende Pfand verwertet worden sei oder dass er es eingelöst habe (vgl. Art. 110 Ziff. 1 OR ; BGE 60 II 178 ). Die Rücksicht auf die Subrogation nach Art. 110 Ziff. 1 OR ist der Grund dafür, dass Art. 61 Abs. 1 KV bestimmt, drittpfandgesicherte Forderungen seien in ihrem vollen Betrage als unversicherte Forderungen zu kollozieren (vgl. BGE 55 III 84 /85). Der Auffassung, dass beim Drittpfand die Schuld in der Regel letzten Endes aus dem Vermögen des Schuldners zu decken ist, entspricht es, dass die Dividende auf einer gemäss Art. 61 Abs. 1 KV kollozierten Forderung nicht bis nach der Pfandverwertung zu hinterlegen, sondern auszuzahlen ist, was auch JAEGER (N. 1 zu Art. 198 SchKG , S. 25/26) annimmt und als durch Art. 61 KV angeordnet betrachtet. b) Eine gemäss Art. 130c Abs. 2 VZG in Verbindung mit Art. 61 Abs. 1 KV kollozierte Forderung gegen den konkursiten Miteigentümer, für welche das Grundstück als Ganzes haftet, ist nun allerdings nicht durch ein reines Drittpfand gesichert, weil das Pfand zum Teil auch dem Gemeinschuldner gehört. Auch für eine solche Forderung muss aber die Regel gelten, dass sie letztlich aus dem Vermögen gedeckt werden soll, das (ausschliesslich) dem Schuldner gehört. Die Auffassung rechtfertigt sich vor allem deswegen, weil sie den Fortbestand des Miteigentumsverhältnisses begünstigt und damit dem vom Gesetzgeber bei Erlass des Bundesgesetzes vom 19. Dezember 1963 verfolgten Ziel entspricht, dem Miteigentum BGE 102 III 49 S. 53 grössere Beständigkeit zu verleihen. Würde man dem Gläubiger einer das Grundstück als Ganzes belastenden Pfandforderung die Dividende, die auf den gemäss Art. 130c Abs. 2 VZG kollozierten Forderungsbetrag entfällt, nicht auszahlen, sondern sie hinterlegen, bis feststeht, ob und wieweit die Pfandgläubiger bei der Pfandverwertung zu Verlust kommen, so würden diese Gläubiger zur Kündigung der Pfandforderung und zur Pfandbetreibung animiert, was zum Hinfall des Miteigentums führen könnte. Erhalten die betreffenden Gläubiger dagegen die fragliche Dividende, so besteht für sie wohl meist kein Anreiz zu solchen Schritten; dann nämlich nicht, wenn sie im Pfand (und - wenigstens bei Solidarität - in der persönlichen Haftung der andern Miteigentümer) eine genügende Sicherheit erblicken, was bei ungekündigten Pfandforderungen die Regel sein dürfte.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