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161</w:t>
      </w:r>
    </w:p>
    <w:p>
      <w:r>
        <w:t>Bundesgericht (BGE), 1976-01-01, DE</w:t>
      </w:r>
    </w:p>
    <w:p>
      <w:r>
        <w:rPr>
          <w:b/>
        </w:rPr>
        <w:t xml:space="preserve">Quelle: </w:t>
      </w:r>
      <w:r>
        <w:t>https://mcp.opencaselaw.ch/entscheid/bge_BGE_102_III_161</w:t>
      </w:r>
    </w:p>
    <w:p>
      <w:r>
        <w:t>FR: ATF 102 III 161</w:t>
      </w:r>
    </w:p>
    <w:p>
      <w:r>
        <w:t>IT: DTF 102 III 161</w:t>
      </w:r>
    </w:p>
    <w:p>
      <w:pPr>
        <w:pStyle w:val="Heading2"/>
      </w:pPr>
      <w:r>
        <w:t>Regeste</w:t>
      </w:r>
    </w:p>
    <w:p>
      <w:r>
        <w:t>Regeste Rekurslegitimation des Konkursamtes (Art. 19 SchKG). Als Organ des Kantons ist das Konkursamt befugt, auf dem Beschwerdeweg fiskalische Interessen geltend zu machen (E. 1). Abrechnung und Auszahlung des Erlöses aus der Pfandverwertung (Art. 219 Abs. 1 SchKG). 1. Der gegen das Konkursamt gerichtete Anspruch auf Auszahlung des Verwertungserlöses ist vollstreckungsrechtlicher Natur und kann daher auf dem Beschwerdeweg durchgesetzt werden (E. 2a). 2. Das Konkursamt, das für die Verwertung von Pfandobjekten sich der Dienste eines Dritten bedient, ist für die Weiterleitung des mit seinem Einverständnis an diesen geleisteten Zuschlagspreises an die Gläubiger verantwortlich; gegebenenfalls hat es den Erlös vorzuschiessen (E. 2b, c).</w:t>
      </w:r>
    </w:p>
    <w:p>
      <w:r>
        <w:t>Regeste Qualité pour recourir de l'office des faillites (art. 19 LP). En tant qu'organe du canton, l'office des faillites a qualité pour faire valoir les intérêts du fisc par la voie de la plainte (consid. 1). Décompte et distribution du produit de la réalisation du gage (art. 219 al. 1 LP). 1. La prétention dirigée contre l'office des faillites en paiement du produit de la réalisation du gage ressortit au droit des poursuites: on peut dès lors la faire valoir par la voie de la plainte (consid. 2a). 2. Si l'office des faillites fait appel aux services d'un tiers pour la réalisation du gage, il est responsable de ce que les créanciers reçoivent le prix d'attribution versé avec son autorisation audit tiers; le cas échéant, il devra avancer le produit de la réalisation (consid. 2b, c).</w:t>
      </w:r>
    </w:p>
    <w:p>
      <w:r>
        <w:t>Regesto Legittimazione dell'ufficio dei fallimenti a presentare un reclamo (art. 19 LEF). Quale organo del Cantone, l'ufficio dei fallimenti è legittimato a far valere interessi fiscali in via di reclamo (consid. 1). Liquidazione e distribuzione del prodotto della realizzazione del pegno (art. 219 cpv. LEF). 1. La pretesa diretta contro l'ufficio dei fallimenti in pagamento del prodotto della realizzazione del pegno è di diritto esecutivo e può pertanto essere fatta valere in via di reclamo (consid. 2a). 2. L'ufficio dei fallimenti che si avvale dei servizi di un terzo per la realizzazione del pegno è responsabile che i creditori ricevano il prezzo di attribuzione versato con la sua autorizzazione al terzo in questione; se del caso deve anticipare il prodotto della realizzazione (consid. 2b, c).</w:t>
      </w:r>
    </w:p>
    <w:p>
      <w:pPr>
        <w:pStyle w:val="Heading2"/>
      </w:pPr>
      <w:r>
        <w:t>Erwägungen</w:t>
      </w:r>
    </w:p>
    <w:p>
      <w:r>
        <w:rPr>
          <w:b/>
        </w:rPr>
        <w:t>E. 1</w:t>
      </w:r>
    </w:p>
    <w:p>
      <w:r>
        <w:t>Das Konkursamt widersetzt sich einer sofortigen Abrechnung mit dem Rekursgegner, weil ein bedeutender Teil der von diesem beanspruchten Summe von ihm bzw. der Staatskasse vorgeschossen werden müsste. Solche fiskalischen Interessen auf dem Beschwerdeweg geltend zu machen, ist es - als Organ des Kantons - befugt (vgl. BGE 53 III 148 E. 1). Auf den Rekurs ist daher einzutreten.</w:t>
      </w:r>
    </w:p>
    <w:p>
      <w:r>
        <w:rPr>
          <w:b/>
        </w:rPr>
        <w:t>E. 2</w:t>
      </w:r>
    </w:p>
    <w:p>
      <w:r>
        <w:t>a) Pfandgesicherte Forderungen werden aus dem Ergebnis der Verwertung der Pfänder vorweg bezahlt ( Art. 219 Abs. 1 SchKG ). Der sich daraus gegenüber dem Betreibungs- bzw. Konkursamt ergebende Anspruch des Pfandgläubigers ist nach ständiger Rechtsprechung des Bundesgerichts vollstreckungsrechtlicher Natur und kann mithin - im Gegensatz etwa zu Verantwortlichkeitsansprüchen ( Art. 5-7 SchKG ) - auf dem Beschwerde- und Rekursweg durchgesetzt werden (vgl. BGE 76 III 85 ; BGE 73 III 89 ; BGE 59 III 212 ; BGE 50 III 74 ; BGE 44 III 89 /90 E. 1; BGE 42 III 115 E. 3 mit Hinweisen). Das rekurrierende Amt scheint der Auffassung zu sein, ein derartiger Anspruch sei im Falle des Rekursgegners noch nicht entstanden, da der Verwertungserlös bei ihm noch nicht vollumfänglich eingegangen sei. Solange es nicht über das erforderliche Geld verfüge, könne es zu einer Zahlung an den Grundpfandgläubiger nicht verpflichtet werden. b) Fest steht, dass die Erwerber der drei hier allein in Frage stehenden Eigentumswohnungen die zur Rückzahlung der Schuldbriefe im zweiten Rang bestimmten Beträge - im Einverständnis mit dem Konkursamt zum grösseren Teil an das BGE 102 III 161 S. 164 Auktionshaus - bezahlt und sich so von ihrer Verpflichtung gültig befreit haben. Damit aber ist das Verwertungsverfahren abgeschlossen und der sich gegen das Konkursamt richtende Anspruch des Rekursgegners auf Ausrichtung des Verwertungserlöses begründet worden. Dass das Auktionshaus das Geld bisher nicht in der vom Amt beanspruchten Höhe weitergeleitet hat, vermag daran nichts zu ändern. c) Es ginge nun nicht an, den Rekursgegner, der auf seine Pfandrechte verzichten musste, damit die Handänderungen grundbuchlich vollzogen werden konnten, bis zum Abschluss der Auseinandersetzung zwischen Konkursamt und Auktionshaus vertrösten zu wollen. Die - immerhin recht aussergewöhnliche - Übertragung der Verwertung des gemeinschuldnerischen Grundvermögens an ein privates Unternehmen darf nicht dazu führen, dass die Gläubiger schlechter gestellt sind, als wenn die Veräusserung durch das Konkursamt selber durchgeführt worden wäre. Die Einwilligung der überwiegenden Gläubigermehrheit in das von diesem eingeschlagene Vorgehen vermochte selbstverständlich nicht, dem Amt das damit verbundene Inkassorisiko abzunehmen. Bedient sich das Konkursamt für die Verwertung der Dienste eines Dritten, so ist der Eingang des Verwertungserlöses bei diesem dem Eingang beim Konkursamt gleichzustellen, und dafür, dass die vom Ersteigerer geleisteten Zahlungen - nach Abzug der Verwertungskosten, aber natürlich nur jener, die aus der Verwertung des betreffenden Objektes resultieren - vollumfänglich an die Gläubiger weitergeleitet werden, hat das Amt einzustehen, unabhängig davon, ob der von ihm beauftragte Dritte die einkassierten Beträge ganz oder zum Teil oder aber überhaupt nicht abgeliefert hat.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