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155</w:t>
      </w:r>
    </w:p>
    <w:p>
      <w:r>
        <w:t>Bundesgericht (BGE), 1976-01-01, FR</w:t>
      </w:r>
    </w:p>
    <w:p>
      <w:r>
        <w:rPr>
          <w:b/>
        </w:rPr>
        <w:t xml:space="preserve">Quelle: </w:t>
      </w:r>
      <w:r>
        <w:t>https://mcp.opencaselaw.ch/entscheid/bge_BGE_102_III_155</w:t>
      </w:r>
    </w:p>
    <w:p>
      <w:r>
        <w:t>FR: ATF 102 III 155</w:t>
      </w:r>
    </w:p>
    <w:p>
      <w:r>
        <w:t>IT: DTF 102 III 155</w:t>
      </w:r>
    </w:p>
    <w:p>
      <w:pPr>
        <w:pStyle w:val="Heading2"/>
      </w:pPr>
      <w:r>
        <w:t>Regeste</w:t>
      </w:r>
    </w:p>
    <w:p>
      <w:r>
        <w:t>Regeste Nachlassvertrag mit Vermögensabtretung. Kollokationsplan und Verteilungsplan. 1. Im Rahmen eines Beschwerdeverfahrens gegen den Verteilungsplan dürfen materiellrechtliche Fragen über den Bestand der Forderung nicht entschieden werden: In diesem Verfahrensstadium darf in der Regel nur geprüft werden, ob der Verteilungsplan dem Kollokationsplan entspricht (E. 2). 2. Der Grundsatz, wonach ein rechtskräftiger Kollokationsplan unter Vorbehalt der Berücksichtigung verspäteter Konkurseingaben nicht einseitig abgeändert werden kann, gilt nicht uneingeschränkt (Bestätigung der Rechtsprechung). Doch darf auf die Kollokation nur zurückgekommen werden, wenn sich eine Änderung der Verhältnisse nach Eintritt der Rechtskraft des Planes ergeben hat oder bekannt geworden ist (E. 3).</w:t>
      </w:r>
    </w:p>
    <w:p>
      <w:r>
        <w:t>Regeste Concordat par abandon d'actif. Etat de collocation et tableau de distribution. 1. On ne saurait trancher, dans le cadre d'une plainte contre le tableau de distribution, des questions de droit matériel relatives à l'existence de la créance: à ce stade de la procédure, on doit seulement, en règle générale, examiner si le tableau de distribution correspond à l'état de collocation (consid. 2). 2. Le principe selon lequel, sous réserve de productions tardives, un état de collocation définitif ne peut pas être modifié unilatéralement n'est pas absolu (rappel de jurisprudence). Mais on ne peut revenir sur la collocation que pour des motifs qui se sont réalisés ou ont été connus après qu'elle est entrée en force (consid. 3).</w:t>
      </w:r>
    </w:p>
    <w:p>
      <w:r>
        <w:t>Regesto Concordato con abbandono dell'attivo. Graduatoria e stato di ripartizione. 1. Nell'ambito di una procedura di reclamo contro lo stato di ripartizione non possono essere decise questioni di diritto materiale relative all'esistenza del credito: in questo stadio della procedura può di regola essere esaminato solo se lo stato di ripartizione corrisponde alla graduatoria (consid. 2). 2. Il principio secondo cui, con riserva di insinuazioni tardive, una graduatoria definitiva non può essere modificata unilateralmente non è assoluto (conferma della giurisprudenza). Si può però rivenire sulla graduatoria solo per motivi che si sono realizzati o che si sono conosciuti dopo che la stessa è cresciuta in giudicato (consid. 3).</w:t>
      </w:r>
    </w:p>
    <w:p>
      <w:pPr>
        <w:pStyle w:val="Heading2"/>
      </w:pPr>
      <w:r>
        <w:t>Erwägungen</w:t>
      </w:r>
    </w:p>
    <w:p>
      <w:r>
        <w:rPr>
          <w:b/>
        </w:rPr>
        <w:t>E. 1</w:t>
      </w:r>
    </w:p>
    <w:p>
      <w:r>
        <w:t>Comme le relève à juste titre la Cour de justice civile, le tableau de distribution peut faire l'objet d'une plainte à l'autorité de concordat (art. 38 de l'ordonnance du Tribunal fédéral du 11 avril 1935 concernant la procédure de concordat pour les banques et les caisses d'épargne, ci-après: OTF). Les décisions rendues par l'autorité de concordat peuvent être déférées au Tribunal fédéral, même pour la raison qu'elles ne sont pas appropriées aux circonstances (art. 53 al. 2 du règlement d'exécution de la loi sur les banques et les caisses d'épargne, du 30 août 1961; art. 63 al. 2 de l'ordonnance d'exécution de la loi sur les banques et les caisses d'épargne, du 17 mai 1972).</w:t>
      </w:r>
    </w:p>
    <w:p>
      <w:r>
        <w:rPr>
          <w:b/>
        </w:rPr>
        <w:t>E. 2</w:t>
      </w:r>
    </w:p>
    <w:p>
      <w:r>
        <w:t>Dans le concordat par abandon d'actif, comme dans la faillite, une procédure de collocation est suivie pour déterminer la composition de la masse passive ( art. 316g LP ; FRITZSCHE, Schuldbetreibung und Konkurs, 2e éd., II p. 355; LUDWIG, Der Nachlassvertrag mit Vermögensabtretung, diss. Berne 1970, pp. 81 ss). Le concordat par abandon d'actif des banques est soumis à la même réglementation (art. 17 al. 2 et art. 30 OTF). Les liquidateurs doivent donc se prononcer sur BGE 102 III 155 S. 159 le fondement matériel des créances quand ils établissent l'état de collocation; les litiges à ce sujet feront l'objet d'un procès en contestation de l'état de collocation. On ne peut dès lors que se rallier à la Cour de justice civile quand elle dit qu'elle ne saurait trancher, dans le cadre d'une plainte contre le tableau de distribution, des questions de droit matériel relatives à l'existence de la créance: à ce stade de la procédure, on doit seulement, en règle générale, examiner si le tableau de distribution correspond à l'état de collocation. Toutefois, on peut se demander si c'est à juste titre que l'autorité cantonale a admis qu'il y avait en l'espèce concordance entre l'état de collocation et le tableau de distribution. Le litige ne porte ni sur le montant de la créance, ni sur le calcul du dividende, mais sur le fait que les liquidateurs ont bloqué le paiement du dividende. Ni la décision attaquée, ni le dossier, où ne figure pas d'état de collocation, ne permettent de dire que le blocage était déjà prévu dans l'état de collocation. Les liquidateurs de la BCI ont bien joint à leur réponse au recours une page d'un état de collocation. Mais - supposé qu'on puisse tenir compte d'une telle production, vu l'art. 79 al. 1 deuxième phrase OJ - cette pièce est datée du 10 octobre 1975: il s'agit donc tout au plus d'un projet, car l'état de collocation définitif ne pouvait pas être établi avant que la Cour de justice civile eût homologué le concordat, le 19 mars 1976. Dans ces conditions, il y a lieu d'admettre le recours et de renvoyer la cause à l'autorité cantonale. Celle-ci devra élucider la question de savoir si le blocage du paiement du dividende, prévu dans le tableau de distribution, a été décidé lors de la collocation de la créance.</w:t>
      </w:r>
    </w:p>
    <w:p>
      <w:r>
        <w:rPr>
          <w:b/>
        </w:rPr>
        <w:t>E. 3</w:t>
      </w:r>
    </w:p>
    <w:p>
      <w:r>
        <w:t>S'il se révèle que tel n'est pas le cas, la plainte ne pourra pas pour autant être admise sans plus. Le principe selon lequel, sous réserve de productions tardives, un état de collocation définitif ne peut pas être modifié unilatéralement n'est pas absolu ( ATF 96 III 78 /79 et les arrêts cités). Ainsi, il y a lieu de tenir compte, lors de la distribution des deniers, de modifications éventuelles du rapport juridique survenues depuis la collocation ( ATF 39 I 662 , ATF 52 III 120 , ATF 87 III 84 ), ce qui équivaut en fait à une modification de l'état de collocation. En outre, la jurisprudence n'exclut pas qu'un fait nouveau permette la revision de l'état BGE 102 III 155 S. 160 de collocation ( ATF 90 III 47 /48). Mais, dans tous les cas, on ne saurait revenir sur la collocation que pour des motifs qui se sont réalisés ou ont été connus après qu'elle est entrée en force. Il n'est pas question de soumettre à une nouvelle appréciation juridique, lors de la distribution des deniers, des faits connus au moment de la collocation et d'en tirer argument pour modifier la décision. Il incombe aux autorités de surveillance de rechercher si les conditions d'une telle modification sont réalisées ( ATF 91 III 93 ).</w:t>
      </w:r>
    </w:p>
    <w:p>
      <w:r>
        <w:rPr>
          <w:b/>
        </w:rPr>
        <w:t>E. 4</w:t>
      </w:r>
    </w:p>
    <w:p>
      <w:r>
        <w:t>En l'espèce, le prêt a été accordé à Stern Anstalt et bénéficie de la garantie de la BCI. Conformément aux art. 216/217 LP, la créancière peut donc, en principe, faire valoir sa prétention contre les deux coobligés et réclamer le plein dividende dans les deux procédures, étant bien entendu que le montant obtenu ne dépassera pas celui de la créance (cf. LUDWIG, op. cit., p. 93 et les références). En portant la créance de la Hamburgische Landesbank dans l'état de collocation, les liquidateurs de la BCI en ont reconnu le bien-fondé. Ils ne le contestent d'ailleurs pas actuellement. Mais ils font état du risque qui découle pour eux du principe de la territorialité et de la force attractive de la faillite: dès l'instant, disent-ils, que la Hamburgische Landesbank a également produit dans la faillite ouverte à Vaduz contre Stern Anstalt, la masse en liquidation de la BCI s'exposerait, si elle versait maintenant à la recourante le dividende prévu au tableau de distribution, à payer plus que ce qui est dû; dans ces conditions, le dividende ne pourra être payé que si la créancière retire sa production dans la faillite de Stern Anstalt ou après que le juge liechtensteinois se sera prononcé sur la validité de la créance (nulle, selon eux, car le contrat de prêt du 15 décembre 1969 serait un acte simulé). Ce moyen de droit devait être invoqué lors de la collocation; la masse en liquidation ne peut revenir, au stade de la distribution, sur une décision de collocation entrée en force que dans la mesure où les conditions posées par la jurisprudence rappelée ci-dessus sont réalisées. La Cour de justice civile n'a pas examiné si tel est le cas; elle devra réparer cette omission.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