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271 vom 22. Dezember 1976</w:t>
      </w:r>
    </w:p>
    <w:p>
      <w:r>
        <w:t>Bundesgericht (BGE), 1976-12-22, DE</w:t>
      </w:r>
    </w:p>
    <w:p>
      <w:r>
        <w:rPr>
          <w:b/>
        </w:rPr>
        <w:t xml:space="preserve">Quelle: </w:t>
      </w:r>
      <w:r>
        <w:t>https://mcp.opencaselaw.ch/entscheid/bge_BGE_102_IB_271</w:t>
      </w:r>
    </w:p>
    <w:p>
      <w:r>
        <w:t>FR: BGE BGE 102 IB 271 du 22 décembre 1976</w:t>
      </w:r>
    </w:p>
    <w:p>
      <w:r>
        <w:t>IT: BGE BGE 102 IB 271 del 22 dicembre 1976</w:t>
      </w:r>
    </w:p>
    <w:p>
      <w:pPr>
        <w:pStyle w:val="Heading2"/>
      </w:pPr>
      <w:r>
        <w:t>Regeste</w:t>
      </w:r>
    </w:p>
    <w:p>
      <w:r>
        <w:t>Regeste Enteignung nachbarrechtlicher Unterlassungsansprüche; Minderwertsentschädigung (Art. 19 lit. a EntG). Voraussetzungen der von Nationalstrassen ausgehenden übermässigen Lärmeinwirkungen: Begriff der bedeutenden Agglomeration (E. 2); unterschiedliche Beeinträchtigung der einzelnen Gebäudeteile (E. 3b); Minderwert von 10% als schwerer Schaden (E. 4) (Bestätigung der Rechtsprechung).</w:t>
      </w:r>
    </w:p>
    <w:p>
      <w:r>
        <w:t>Regeste Expropriation de droits découlant des rapports de voisinage; indemnité de dépréciation (art. 19 lettre a LEx). Immissions excessives profanen des routes nationales: notion de l'agglomération importante (consid. 2); inconvénients différents pour les diverses parties d'un bâtiment (consid. 3b); dépréciation de 10%, considérée comme dommage grave (consid. 4) (confirmation de la jurisprudence).</w:t>
      </w:r>
    </w:p>
    <w:p>
      <w:r>
        <w:t>Regesto Espropriazione di diritti sgorganti dai rapporti di vicinato; indennità per svalutazione (art. 19 lett. a LEspr). Immissioni acustiche eccessive provenienti da strade nazionali: nozione di agglomerazione importante (consid. 2); pregiudizio differente subito nelle singole parti di un edificio (consid. 3b); svalutazione del 10% considerata come pregiudizio grave (consid. 4) (conferma della giurisprudenza).</w:t>
      </w:r>
    </w:p>
    <w:p>
      <w:pPr>
        <w:pStyle w:val="Heading2"/>
      </w:pPr>
      <w:r>
        <w:t>Erwägungen</w:t>
      </w:r>
    </w:p>
    <w:p>
      <w:r>
        <w:rPr>
          <w:b/>
        </w:rPr>
        <w:t>E. 1</w:t>
      </w:r>
    </w:p>
    <w:p>
      <w:r>
        <w:t>Nach der Rechtsprechung ist eine Entschädigung für Nachteile aus Immissionen nur geschuldet, wenn diese schwer und intensiv sind, den Eigentümer in besonderer Weise treffen und nicht vorhergesehen werden konnten ( BGE 94 I 300 , BGE 95 I 493 , BGE 98 Ib 331 , BGE 100 Ib 201 , BGE 101 Ib 407 ).</w:t>
      </w:r>
    </w:p>
    <w:p>
      <w:r>
        <w:rPr>
          <w:b/>
        </w:rPr>
        <w:t>E. 2</w:t>
      </w:r>
    </w:p>
    <w:p>
      <w:r>
        <w:t>Die ESchK erklärt in ihrem Entscheid, die Frage der Nichtvorhersehbarkeit des Schadens offen lassen zu wollen. Indessen hat sie unter dem Titel der Spezialität des Schadens ausgeführt, Keller habe das Haus nicht in einer abgeschiedenen und äusserst ruhigen Gegend, sondern am südlichen Dorfrand und damit im Bereich einer Siedlung gebaut. Er habe deshalb "damit rechnen" müssen, dass das Dorf sich ausdehnen und der Verkehr zunehmen werde; Keller könne sich infolgedessen nicht darauf berufen, er werde durch die Immissionen in ganz besonderer Weise betroffen, "weil er ohne den Bau der Autobahn damit habe rechnen können, seinen Beruf weiterhin an einem stillen und abgelegenen Ort ausüben zu können". Das sind jedoch ihrem Inhalt nach Überlegungen, die nicht die Spezialität, sondern die Voraussehbarkeit des Schadens berühren und diese verneinen. Übrigens zielt auch der Kanton Schwyz mit seinem Hinweis auf BGE 98 Ib 331 in dieselbe Richtung. a) Im letztgenannten Entscheid wurde ausgeführt, dass wegen der "concentrations urbaines" und der starken Entwicklung des Automobilverkehrs jeder Eigentümer eines Wohnhauses im Umkreis einer bedeutenden Agglomeration ("importante agglomération") damit rechnen muss, dass Strassen in unmittelbarer Nähe verlegt, verbessert oder vergrössert werden. Damit wurde im damaligen Fall auf die Agglomeration Lausanne und die unmittelbare Nähe einer Kantonsstrasse Bezug genommen. Zudem war schon zuvor in BGE 95 I 495 der Begriff der Agglomeration und ihrer näheren Umgebung dahin verdeutlicht worden, dass darunter das Zentrum einer Ortschaft bzw. der Stadtkern und dessen nächste Umgebung zu verstehen seien. b) Im vorliegenden Fall steht nicht eine bedeutende Agglomeration BGE 102 Ib 271 S. 274 in Frage, und es liegt überdies das Haus des Beschwerdeführers nicht im Ortskern oder in dessen unmittelbarer Umgebung. Vielmehr stellt die ESchK selber fest und wird auch vom Enteigner nicht bestritten, dass es sich am südlichen Rand des Dorfes befindet. Es kann daher nicht gesagt werden, der Beschwerdeführer habe im Jahre 1953, als er das Haus baute, damit rechnen müssen, dass eines Tages in dessen unmittelbarer Nähe eine Autobahn gebaut würde. Daran ändert auch nichts, dass das Haus an der Schlipfstrasse steht. Bei dieser handelt es sich um eine kleinere Quartierstrasse ohne Industrie- und Gewerbeverkehr, die der Zufahrt zu einigen Bauernhöfen und vereinzelten Wohnhäusern dient.</w:t>
      </w:r>
    </w:p>
    <w:p>
      <w:r>
        <w:rPr>
          <w:b/>
        </w:rPr>
        <w:t>E. 3</w:t>
      </w:r>
    </w:p>
    <w:p>
      <w:r>
        <w:t>a) Die Voraussetzung der Spezialität des Schadens ist nach neuester Rechtsprechung erfüllt, wenn die Einwirkung ausserhalb des Normalen liegt. Das trifft in der Regel zu, wenn sich der Lärm in stochastischen Geräuschen äussert ( BGE 100 Ib 205 ) und er die von der Eidg. Expertenkommission für Lärmfragen aufgestellten Grenzrichtwerte klar übersteigt. Dabei wurde hervorgehoben, dass ein sich in solchen Geräuschen äussernder Lärm vom Menschen nur sehr schwer oder überhaupt nicht programmiert wird, dieser sich also an ihn nicht gewöhnt, und dass vor allem die Lärmspitzen während der Nacht als äusserst störend empfunden werden, wenn sie über die bei 45-50 dB (A) liegende Weckschwelle deutlich hinausgehen. Entsprechend wurde die Übermässigkeit der Lärmeinwirkung als gegeben erachtet, wenn diese Spitzen den Grenzrichtwert um 9 und mehr dB (A) überschreiten ( BGE 101 Ib 407 ). b) Im vorliegenden Fall ist davon auszugehen, dass das Haus des Beschwerdeführers sich vor dem Bau der N 3 in einer ausgesprochen ruhigen Wohnlage befunden hat. Es sind deshalb die für ruhige Wohnzonen gültigen Grenzrichtwerte zugrunde zu legen, nämlich für den Tag L 50 = 55 dB (A) und L 1 = 65 dB (A), für die Nacht L 50 = 45 dB (A) und L 1 = 55 dB (A). Nach dem Expertenbericht Furrer wird auf der der Nationalstrasse zugekehrten Südseite des Erdgeschosses zwar der massgebliche Richtwert L 1 während fünf Wochentagen durchschnittlich um 10 dB (A) überschritten, doch nur zur Nachtzeit (22.00-06.00 Uhr) (Messort 1). Da sich im Erdgeschoss auf der Südseite die Stube und das Schneideratelier BGE 102 Ib 271 S. 275 befinden, die beide abends nicht oder nur während einer kurzen 22.00 Uhr überschreitenden Zeitspanne benutzt werden, kann insoweit von einer speziellen Schädigung nicht gesprochen werden. Die Arbeitstätigkeit während des Tages aber wird durch die Lärmeinwirkung auf die genannten Räume nicht in rechtlich erheblichem Masse beeinflusst, weil der maximal zulässige Schallpegel für Büroarbeiten und vergleichbare Tätigkeiten bei 70 dB (A) liegt und dieser kritische Wert in casu nach den durchgeführten Messungen nicht erreicht wird. Im 1. Stock wurden in den östlich gelegenen Schlafzimmern (Messort 2) keine Überschreitungen der Grenzrichtwerte gemessen, die den Anforderungen eines speziellen Schadens genügen würden. Sie liegen samt und sonders unter 9 dB (A). Dagegen überschreitet die Lärmeinwirkung auf der Westseite, auf welcher sich ebenfalls Schlafzimmer befinden (Messort 3), nachts den Richtwert L 50 um 4-9 dB (A), denjenigen von L 1 um 6-11 dB (A), wobei nach den am zweiten Augenschein vom genannten Experten gemachten ergänzenden Angaben die durchschnittliche Überschreitung des Richtwertes L 1 - ohne Berücksichtigung der am Samstag, den 9. August 1975 gemessenen Spitzenwerte - bei 9 dB (A) liegt. Hinsichtlich der auf der Westseite des 1. Stockwerks gelegenen Schlafzimmer ist demnach der für die Bejahung der Spezialität des Schadens massgebende kritische Wert im Sinne der Rechtsprechung gegeben ( BGE 101 Ib 407 ). Eine Kompensation dieses Wertes durch die an den zwei anderen Messorten ermittelten tieferen Werte fällt ausser Betracht, weil die im oberen Stockwerk bestehende spezielle Schädigung nicht dadurch aus der Welt geschafft wird, dass beispielsweise im Erdgeschoss ein solcher Schaden nicht besteht. c) Die Auffassung der ESchK und des Enteigners, wonach die Voraussetzung der Spezialität zu verneinen sei, weil neben dem Beschwerdeführer auch noch andere Eigentümer in gleicher Weise betroffen würden, geht fehl. Sie würde zu höchst unbilligen Ergebnissen führen und widerspricht auch klarerweise der geltenden Rechtsprechung (vgl. BGE 95 I 491 mit sieben Enteigneten am gleichen Strassenzug, Urteil i.S. Knecht und Kons. vom 8. Mai 1974 mit elf Enteigneten an der gleichen SBB-Linie).</w:t>
      </w:r>
    </w:p>
    <w:p>
      <w:r>
        <w:rPr>
          <w:b/>
        </w:rPr>
        <w:t>E. 4</w:t>
      </w:r>
    </w:p>
    <w:p>
      <w:r>
        <w:t>Gemäss bundesgerichtlicher Praxis bildet das Ausmass BGE 102 Ib 271 S. 276 der Überschreitung der Grenzrichtwerte auch eine entscheidende Grundlage für die Beurteilung der Frage, ob noch ein rechtlich erheblicher und damit zu entschädigender Minderwert gegeben sei. Der Oberexperte Rimli hat deshalb in Berücksichtigung der von Prof. Furrer ermittelten übermässigen Lärmeinwirkung auf die zwei westlichen Schlafzimmer des oberen Stockwerks sowie des Umstandes, dass eine Zimmerumlegung auf eine ruhigere Gebäudeseite als Möglichkeit einer Schadensabwendung ausser Betracht fällt, den Minderwert auf 10% geschätzt. Dieser Wert hält sich im Rahmen des von der Praxis ausgebildeten Rastersystems und reicht zur Annahme eines schweren Schadens noch aus ( BGE 101 Ib 408 /409). Da der Verkehrswert von den Parteien vergleichsweise auf Fr. 135'000.-- angesetzt worden war, berechnete der genannte Experte die Minderwertsentschädigung auf Fr. 13'500.--. Dieser Betrag entspricht nach der Schätzung des Sachverständigen ungefähr den Kosten, welche der Beschwerdeführer für bauliche Massnahmen (Isolierfenster und Lüftungsaggregat) zur Dämpfung der übermässigen Lärmeinwirkungen aufwenden müsste. Da die Schätzung des Experten weder unhaltbar noch lückenhaft ist, noch gegen den Grundsatz der vollen Entschädigung verstösst, ist dem Beschwerdeführer ein Betrag von Fr. 13'500.--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