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193 vom 1. Januar 1976</w:t>
      </w:r>
    </w:p>
    <w:p>
      <w:r>
        <w:t>Bundesgericht (BGE), 1976-01-01, DE</w:t>
      </w:r>
    </w:p>
    <w:p>
      <w:r>
        <w:rPr>
          <w:b/>
        </w:rPr>
        <w:t xml:space="preserve">Quelle: </w:t>
      </w:r>
      <w:r>
        <w:t>https://mcp.opencaselaw.ch/entscheid/bge_BGE_102_IB_193</w:t>
      </w:r>
    </w:p>
    <w:p>
      <w:r>
        <w:t>FR: BGE BGE 102 IB 193 du 1 janvier 1976</w:t>
      </w:r>
    </w:p>
    <w:p>
      <w:r>
        <w:t>IT: BGE BGE 102 IB 193 del 1 gennaio 1976</w:t>
      </w:r>
    </w:p>
    <w:p>
      <w:pPr>
        <w:pStyle w:val="Heading2"/>
      </w:pPr>
      <w:r>
        <w:t>Regeste</w:t>
      </w:r>
    </w:p>
    <w:p>
      <w:r>
        <w:t>Regeste Führerausweisentzug. 1. Ob ein Führerausweisentzug auf Art. 16 Abs. 2 oder 16 Abs. 3 lit. a SVG gestützt wird, ist eine Frage der rechtlichen Würdigung des Sachverhaltes, in der die Administrativbehörde grundsätzlich nicht an das Erkenntnis des Strafrichters gebunden ist (E. 3c). 2. Verhältnis zwischen Art. 16 und 90 SVG (E. 3d). 3. Die Anwendung von Art. 90 Ziff. 1 SVG durch den Strafrichter verpflichtet die Administrativbehörde nicht, ihre Massnahme auf Art. 16 Abs. 2 SVG zu stützen (E. 3 und 4).</w:t>
      </w:r>
    </w:p>
    <w:p>
      <w:r>
        <w:t>Regeste Retrait de permis de conduire. 1. La question de savoir si le permis doit être retiré sur la base de l'art. 16 al. 2 ou de l'art. 16 al. 3 lettre a LCR relève de l'appréciation juridique des faits; pour prendre sa décision à ce sujet, l'autorité administrative n'est en principe pas liée par le jugement pénal (consid. 3c). 2. Rapports entre les art. 16 et 90 LCR (consid. 3d). 3. Le fait que le juge pénal a appliqué l'art. 90 al. 1 LCR n'oblige pas l'autorité administrative à prendre sa mesure sur la base de l'art. 16 al. 2 LCR (consid. 3 et 4).</w:t>
      </w:r>
    </w:p>
    <w:p>
      <w:r>
        <w:t>Regesto Revoca della licenza di condurre. 1. La questione se una licenza di condurre debba essere revocata in base all'art. 16 cpv. 2 o all'art. 16 cpv. 3 lett. a LCS dipende dall'apprezzamento giuridico dei fatti, nel quale l'autorità amministrativa non è vincolata, in linea di principio, alla decisione del giudice penale (consid. 3c). 2. Relazione tra gli art. 16 e 90 LCS (consid. 3d). 3. Il fatto che il giudice penale abbia applicato l'art. 90 cpv. 1 LCS non obbliga l'autorità amministrativa a fondare la propria misura sull'art. 16 cpv. 2 LCS (consid. 3 e 4).</w:t>
      </w:r>
    </w:p>
    <w:p>
      <w:pPr>
        <w:pStyle w:val="Heading2"/>
      </w:pPr>
      <w:r>
        <w:t>Erwägungen</w:t>
      </w:r>
    </w:p>
    <w:p>
      <w:r>
        <w:rPr>
          <w:b/>
        </w:rPr>
        <w:t>E. 2</w:t>
      </w:r>
    </w:p>
    <w:p>
      <w:r>
        <w:t>In rechtlicher Hinsicht betrachtete die Vorinstanz die Geschwindigkeit, mit der W. gefahren war, begründeterweise als übersetzt. Im Bereiche einer Einmündung auf eine normale zweispurige Strasse war eine Geschwindigkeit von 140-160 km/h, auch als noch keine generelle Höchstgeschwindigkeit galt, zu hoch, denn dort muss mit wesentlich langsamer fahrenden, einbiegenden Fahrzeugen gerechnet werden. Der Beschwerdeführer räumt denn auch im zweitinstanzlichen Strafverfahren ein, mit übersetzter Geschwindigkeit gefahren zu sein. Die Vorinstanz macht W. ferner den Vorwurf, sein Abstand zum Fahrzeug F. sei beim Überholen ungenügend gewesen ( Art. 34 Abs. 4 SVG ) und er habe es an der besonderen Rücksichtnahme gegenüber dem Lenker des zu überholenden Fahrzeuges fehlen lassen ( Art. 35 Abs. 3 SVG ). Da W. erwiesenermassen F. zur Freigabe der Fahrbahn drängte und beim Überholen einen sehr kleinen seitlichen Abstand zu diesem hielt, ist dieser Vorwurf gerechtfertigt. Die Fahrweise von W. ist selbst dann zu beanstanden, wenn angenommen wird, F. sei unter Missachtung des Vortrittsrechtes auf die Fahrbahn eingeschwenkt. Der Beschwerdeführer hätte nämlich seinen Vortritt nicht unbekümmert um andere Strassenbenützer ausüben dürfen, sondern wäre verpflichtet gewesen, auf ein allfälliges fehlerhaftes Verhalten eines Vortrittsbelasteten Rücksicht zu nehmen, zumal da dieser auf 150 m sichtbar war. Dass dies möglich gewesen wäre, hat die Vorinstanz überzeugend nachgewiesen. Sie kam nämlich zum Schluss, dass W. eine genügend grosse Distanz zur Verfügung gestanden hat, um sein Tempo so stark zu reduzieren, dass er nicht mehr hätte überholen müssen. (Nach den Berechnungen der Vorinstanz hat W. das Fahrzeug von F., das sich ebenfalls in Fahrt befand, ca. 250 m nachdem er es erblickt hatte, eingeholt. Auf dieser Strecke hätte W. nach diesen Berechnungen sein Fahrzeug sogar zum Stillstand bringen können.) Der Beschwerdeführer bestreitet auch diese Verkehrsregelverletzung nicht mehr grundsätzlich. BGE 102 Ib 193 S. 196</w:t>
      </w:r>
    </w:p>
    <w:p>
      <w:r>
        <w:rPr>
          <w:b/>
        </w:rPr>
        <w:t>E. 3</w:t>
      </w:r>
    </w:p>
    <w:p>
      <w:r>
        <w:t>a) Er macht jedoch geltend, die Vorinstanz habe sich zu Unrecht über die Tatsache hinweggesetzt, dass seine Fahrweise vom Obergericht des Kantons Zürich als einfache Verkehrsregelverletzung nach Art. 90 Ziff. 1 SVG qualifiziert worden sei. Bei dieser Lage habe der Regierungsrat den Führerausweis nicht unter Annahme einer schweren Gefährdung des Verkehrs, gestützt auf Art. 16 Abs. 3 lit. a SVG entziehen dürfen. Eine solche Abweichung von der rechtlichen Würdigung des Strafrichters sei unzulässig. b) Die Tatbestandsumschreibungen für den Führerausweisentzug und die strafrechtliche Sanktion stimmen nicht überein. Es bestehen aber gewisse Parallelen zwischen Art. 16 Abs. 2 und 90 Ziff. 1 SVG einerseits, Art. 16 Abs. 3 lit. a und Art. 90 Ziff. 2 SVG andererseits ( BGE 101 Ib 273 ). Insbesondere sind die Formulierungen "... wenn der Führer den Verkehr in schwerer Weise gefährdet hat" ( Art. 16 Abs. 3 lit. a SVG ) und "Wer ... eine ernsthafte Gefahr für die Sicherheit anderer hervorruft ..." ( Art. 90 Ziff. 2 SVG ) ähnlich. Es stellt sich darum die Frage, ob sich die Administrativbehörde in der Beurteilung der Schwere der Verkehrsgefährdung vom Erkenntnis des Strafrichters entfernen darf. c) Der Entscheid über die Schwere einer Verkehrsgefährdung ist eine Frage der rechtlichen Würdigung des Sachverhaltes. Ob darin eine Bindung der Administrativbehörden an das Strafurteil bestehe, sofern dieses in tatsächlicher und rechtlicher Hinsicht vollständig ist, wurde vom Bundesgericht in BGE 96 I 775 zunächst offen gelassen. Im nicht publizierten Entscheid vom 9. April 1976 i.S. Grosjean führt das Bundesgericht nun aus, in reinen Rechtsfragen sei die Verwaltungsbehörde nicht an die Beurteilung durch den Strafrichter gebunden, denn sonst würde die Verwaltung in ihrer freien Rechtsanwendung beschränkt. Eine andere Lösung ist nach diesem Entscheid höchstens gerechtfertigt, wenn die rechtliche Würdigung eines Falles sehr stark von der Würdigung von Tatsachen abhängt, die der Strafrichter besser kennt als die Verwaltungsbehörde. Eine solch enge Verknüpfung von Sachverhaltsfeststellung und Rechtsanwendung liegt im zu beurteilenden Fall nicht vor. Somit ist die Verwaltungsbehörde in ihrer rechtlichen Qualifikation des Verhaltens von W. schon aus diesem Grund frei. d) In Art. 90 Ziff. 2 SVG ist die schwere Gefährdung des BGE 102 Ib 193 S. 197 Verkehrs nicht das einzige Tatbestandselement; diese Gefährdung muss zusätzlich durch eine grobe Verletzung der Verkehrsregeln eingetreten sein. Diese Bestimmung legt damit ein Schwergewicht auf das Verschulden des Fahrzeuglenkers und verlangt eine Würdigung eines Sachverhaltes unter einem subjektiven Gesichtspunkt. Die nach Art. 90 SVG verhängte Sanktion ist dementsprechend eine besonders dem subjektiven Verschulden angemessene Strafe. Art. 16 Abs. 3 lit. a SVG hingegen stellt mehr auf die objektive Gefährdung des Verkehrs ab. Die auf Grund dieser Bestimmung ausgesprochene Sanktion ist denn auch eine sichernde oder warnende Massnahme und nicht eine Strafe (nicht veröffentlichte Urteile Détraz vom 21. Dezember 1973, E. 2 und Stäheli vom 5. November 1973, E. 2a). Da Art. 16 Abs. 3 lit. a und 90 Ziff. 2 SVG neben ihrer Ähnlichkeit somit einen wesentlichen Unterschied aufweisen, kann die Verwaltungsbehörde auch aus diesem Grund nicht an die rechtliche Würdigung des Strafrichters gebunden sein. Der Regierungsrat des Kantons Zug durfte daher den Führerausweis auf Grund von Art. 16 Abs. 3 lit. a entziehen, auch wenn das Obergericht des Kantons Zürich die Anwendung von Art. 90 Ziff. 2 SVG abgelehnt hatte.</w:t>
      </w:r>
    </w:p>
    <w:p>
      <w:r>
        <w:rPr>
          <w:b/>
        </w:rPr>
        <w:t>E. 4</w:t>
      </w:r>
    </w:p>
    <w:p>
      <w:r>
        <w:t>Die Vorinstanz ist der Ansicht, W. habe den Verkehr in schwerer Weise gefährdet. Das Überholmanöver des Beschwerdeführers war in der Tat sehr riskant: Sein Tempo war übersetzt; er drängte F. auf die Seite und hielt, als er an diesem vorbeifuhr, rücksichtslos einen zu kleinen seitlichen Abstand ein. Es ist schwer verständlich, wie das Obergericht des Kantons Zürich zum Schluss kommen konnte, W. habe sich durch sein "riskantes Manöver in erster Linie selbst" gefährdet. Bei einem Überholvorgang ist eine Selbstgefährdung fast immer mit einer Gefährdung anderer Verkehrsteilnehmer verbunden. Das trifft im vorliegenden Fall in hohem Masse zu, denn F. wurde beträchtlich gefährdet. Selbst wenn dieser, durch das Überholmanöver überrascht, sich selber nicht ganz richtig verhalten haben sollte, vermindert dies die Gefahr, die mit der Fahrweise von W. verbunden war, nicht. Der Regierungsrat des Kantons Zug hat somit zu Recht entschieden, W. habe den Verkehr im Sinne von Art. 16 Abs. 3 lit. a SVG in schwerer Weise gefährdet. Bei dieser Lage BGE 102 Ib 193 S. 198 ist der Entzug des Führerausweises obligatorisch. Die Entzugsdauer von fünf Monaten liegt in Anbetracht der Schwere der Gefährdung und der Tatsache, dass W. schon im Jahr 1969 der Führerausweis wegen Fahrens in angetrunkenem Zustand für die Dauer von vier Monaten entzogen wurde, im Ermessensspielraum der Vorinstanz.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