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339 vom 13. Oktober 1976</w:t>
      </w:r>
    </w:p>
    <w:p>
      <w:r>
        <w:t>Bundesgericht (BGE), 1976-10-13, DE</w:t>
      </w:r>
    </w:p>
    <w:p>
      <w:r>
        <w:rPr>
          <w:b/>
        </w:rPr>
        <w:t xml:space="preserve">Quelle: </w:t>
      </w:r>
      <w:r>
        <w:t>https://mcp.opencaselaw.ch/entscheid/bge_BGE_102_IA_339</w:t>
      </w:r>
    </w:p>
    <w:p>
      <w:r>
        <w:t>FR: BGE BGE 102 IA 339 du 13 octobre 1976</w:t>
      </w:r>
    </w:p>
    <w:p>
      <w:r>
        <w:t>IT: BGE BGE 102 IA 339 del 13 ottobre 1976</w:t>
      </w:r>
    </w:p>
    <w:p>
      <w:pPr>
        <w:pStyle w:val="Heading2"/>
      </w:pPr>
      <w:r>
        <w:t>Regeste</w:t>
      </w:r>
    </w:p>
    <w:p>
      <w:r>
        <w:t>Regeste Art. 4 BV; Grundstückgewinnsteuer. Unzulässigkeit der "aufgespaltenen" Haltezeitberechnung für Bestandteile desselben Grundstückes wegen Fehlens der erforderlichen gesetzlichen Grundlage.</w:t>
      </w:r>
    </w:p>
    <w:p>
      <w:r>
        <w:t>Regeste Art. 4 Cst; impôt sur les gains immobiliers. A défaut d'une base légale autorisant un tel procédé, il n'est pas admissible d'établir des distinctions, en ce qui concerne la durée de possession, entre diverses parties d'un même immeuble.</w:t>
      </w:r>
    </w:p>
    <w:p>
      <w:r>
        <w:t>Regesto Art. 4 Cost; imposta sui profitti immobiliari. In assenza di una base legale che autorizzi tale modo di procedere, non è consentito operare distinzioni, per quanto concerne la durata della proprietà, tra varie parti di uno stesso fondo.</w:t>
      </w:r>
    </w:p>
    <w:p>
      <w:pPr>
        <w:pStyle w:val="Heading2"/>
      </w:pPr>
      <w:r>
        <w:t>Erwägungen</w:t>
      </w:r>
    </w:p>
    <w:p>
      <w:r>
        <w:rPr>
          <w:b/>
        </w:rPr>
        <w:t>E. 2</w:t>
      </w:r>
    </w:p>
    <w:p>
      <w:r>
        <w:t>Die Beschwerdeführer erblicken eine Verletzung des Art. 4 BV darin, dass die Steuerrekurskommission eine im Gesetz nicht vorgesehene Aufspaltung der Haltezeit bei den nachträglich überbauten Grundstücken vorgenommen habe. a) Das Steuergesetz des Kantons Thurgau macht, wie zahlreiche andere kantonale und kommunale Steuergesetze, in den §§ 158 Abs. 1 und 161 den Grundstückgewinnsteuersatz unter anderem abhängig von der Eigentumsdauer: § 158 Abs. 1: "Massgebend für die Berechnung des Gewinnes und der Eigentumsdauer ist die letzte Handänderung." § 161: "War das veräusserte Grundstück während weniger als drei Jahren im Eigentum des Steuerpflichtigen, so wird der Steuerbetrag für jeden Monat, den die Eigentumsdauer weniger ausmacht, um 1 Prozent erhöht. Bei einer Eigentumsdauer von fünf Jahren sowie für jedes weitere Jahr ermässigt sich die Steuer um 4 Prozent, höchstens jedoch um 60 Prozent." BGE 102 Ia 339 S. 341 Weder dem Steuergesetz noch der Vollziehungsverordnung kann entnommen werden, wie die während der massgebenden Eigentumsdauer erfolgten wertvermehrenden Aufwendungen, insbesondere auch Bauten, bei der Berechnung der Haltezeit zu behandeln sind. Es fragt sich, ob unter diesen Umständen die getrennte Erfassung von Boden und nachträglich erstellten Gebäuden, wie sie die thurgauischen Steuerbehörden nach ihren eigenen Angaben praktizieren, vor Art. 4 BV standhält. Eine Steuererhebung, die im Einzelfall über das vom formellen Gesetz ausdrücklich oder stillschweigend zugelassene Mass hinausgeht, verstösst nicht nur gegen das Legalitätsprinzip, von dem das Abgaberecht beherrscht ist ( BGE 97 I 344 , BGE 100 Ia 66 und 138/139, sowie dort zit. frühere Entscheide), sondern letztlich auch gegen den Grundsatz der Rechtsgleichheit. b) Die Steuerrekurskommission des Kantons Thurgau behauptet nicht, dass § 161 StG oder eine dazugehörige Ausführungsbestimmung eine unterschiedliche Haltezeitberechnung für Bestandteile desselben Grundstückes vorschreibe, wie dies z.B. Art. 81 Abs. 4 des Steuergesetzes des Kantons Graubünden vorsieht. Sie erblickt in dem Schweigen des Gesetzes eine Lücke, die durch die Praxis auszufüllen sei, wobei sie sich auf einen eigenen Entscheid vom 18. August 1964 beruft, in welchem festgestellt wird, dass "ein blosser Bestandteil von Grund- und Fahrniseigentum steuerrechtlich durchaus Vermögensobjekt sein" könne und als solches einer besonderen Haltezeitberechnung zugänglich sei. Es ist nicht zu verkennen, dass diese "aufgespaltene Gewinnberechnung" (vgl. GUHL, Die Spezialbesteuerung der Grundstückgewinne in der Schweiz, Diss. Zürich 1953, S. 263) eine differenziertere Durchsetzung des Gedankens der Berücksichtigung der Eigentumsdauer erlaubt als das Abstellen auf die sachenrechtliche Einheit. Fest steht aber auch, dass diese Betrachtungsweise sich ausschliesslich zu Gunsten des Fiskus auswirkt und somit einen weitergehenden Eingriff in das Vermögen des Bürgers darstellt, als es dem Wortlaut des Gesetzes entspräche, das sich auf die "letzte Handänderung" bezieht und sich damit zwar nicht unbedingt an den sachenrechtlichen Tatbestand klammert - auch bei der Handänderung kann im Steuerrecht die wirtschaftliche Betrachtungsweise gelten -, aber immerhin auf das rechtliche Schicksal des Grundstückes abstellt. Es befindet sich dabei auf derselben Linie wie die BGE 102 Ia 339 S. 342 Steuergesetze der meisten anderen Kantone mit Eigentumsdauerabzug, in denen die Praxis die "gespaltene Gewinnberechnung" nur in dem Sinne kennt, dass bei gemeinsamer Veräusserung von zu verschiedenen Zeiten erworbenen Grundstücken die Haltezeiten für die einzelnen Teile gesondert berechnet werden. Die von den thurgauischen Steuerbehörden angewendete Berechnungsweise stellt also keineswegs eine notwendige Konsequenz der Berücksichtigung der Eigentumsdauer dar. Die verbreitete gegenteilige Praxis hat den Vorzug der bedeutend einfacheren Handhabung für sich und kommt zudem dem Pflichtigen entgegen. Es muss unter diesen Umständen davon ausgegangen werden, dass der thurgauische Steuergesetzgeber, dem die Problematik der "gespaltenen Gewinnberechnung" mindestens seit dem Entscheid der Steuerrekurskommission vom 18. August 1964 bekannt sein musste, bei der Revision des Gesetzes im Jahre 1970 doch bewusst darauf verzichtet hat, die im angefochtenen Entscheid festgestellte (unechte) Lücke durch eine klare Regelung im Sinne des erwähnten Entscheides zu schliessen, wenn auch die Materialien darüber nichts aussagen. Demnach fehlt der Praxis der Steuerrekurskommission des Kantons Thurgau die erforderliche gesetzliche Grundlage, weshalb der angefochtene Entscheid in teilweiser Gutheissung der Beschwerde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