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91</w:t>
      </w:r>
    </w:p>
    <w:p>
      <w:r>
        <w:t>Bundesgericht (BGE), 1975-04-07, DE</w:t>
      </w:r>
    </w:p>
    <w:p>
      <w:r>
        <w:rPr>
          <w:b/>
        </w:rPr>
        <w:t xml:space="preserve">Quelle: </w:t>
      </w:r>
      <w:r>
        <w:t>https://mcp.opencaselaw.ch/entscheid/bge_BGE_101_V_91</w:t>
      </w:r>
    </w:p>
    <w:p>
      <w:r>
        <w:t>FR: ATF 101 V 91</w:t>
      </w:r>
    </w:p>
    <w:p>
      <w:r>
        <w:t>IT: DTF 101 V 91</w:t>
      </w:r>
    </w:p>
    <w:p>
      <w:pPr>
        <w:pStyle w:val="Heading2"/>
      </w:pPr>
      <w:r>
        <w:t>Regeste</w:t>
      </w:r>
    </w:p>
    <w:p>
      <w:r>
        <w:t>Regeste Art. 5 Abs. 2 AHVG. Beitragsrechtliche Qualifikation des Taggeldes und der freien Verpflegung, die Zivilschutzinstruktoren erhalten.</w:t>
      </w:r>
    </w:p>
    <w:p>
      <w:r>
        <w:t>Regeste Art. 5 al. 2 LAVS. Cotisations: qualification des indemnités journalières et de la subsistance gratuite dont bénéficient les instructeurs de la protection civile.</w:t>
      </w:r>
    </w:p>
    <w:p>
      <w:r>
        <w:t>Regesto Art. 5 cpv. 2 LAVS. Contributi: qualificazione delle indennità giornaliere e del vitto gratuito spettanti agli istruttori della protezione civile.</w:t>
      </w:r>
    </w:p>
    <w:p>
      <w:pPr>
        <w:pStyle w:val="Heading2"/>
      </w:pPr>
      <w:r>
        <w:t>Erwägungen</w:t>
      </w:r>
    </w:p>
    <w:p>
      <w:r>
        <w:rPr>
          <w:b/>
        </w:rPr>
        <w:t>E. 1</w:t>
      </w:r>
    </w:p>
    <w:p>
      <w:r>
        <w:t>Lohn ist gemäss Art. 5 Abs. 2 AHVG jedes wie immer bezeichnete Entgelt für Arbeit in unselbständiger Stellung. Dazu gehören auch regelmässige Naturalbezüge ( Art. 7 lit. f AHVV ). Hingegen gilt der Militärsold nicht als Erwerbseinkommen und ist daher beitragsfrei ( Art. 6 Abs. 2 lit. a AHVV ). In Rz. 3 seiner Wegleitung über den massgebenden Lohn stellt das Bundesamt für Sozialversicherung die den Zivilschutzpflichtigen gewährte tägliche Funktionsvergütung gemäss Art. 46 des Bundesgesetzes über den Zivilschutz dem Militärsold gleich. Im Gegensatz hiezu heisst es in Rz. 115 der Wegleitung, BGE 101 V 91 S. 93 das nebenberuflichen Funktionären ausgerichtete Taggeld habe Lohncharakter. Zu dieser Art Entschädigung zählt das Bundesamt auch das in Art. 6 des einschlägigen BRB vom 17. November 1971 für das in Zivilschutzkursen eingesetzte Lehrpersonal wahlweise vorgesehene Taggeld (ZAK 1966 S. 361 f. und 416).</w:t>
      </w:r>
    </w:p>
    <w:p>
      <w:r>
        <w:rPr>
          <w:b/>
        </w:rPr>
        <w:t>E. 2</w:t>
      </w:r>
    </w:p>
    <w:p>
      <w:r>
        <w:t>a) Weil der Militärsold blossen Spesenersatz darstellt, ist er gemäss Art. 6 Abs. 2 lit. a AHVV beitragsfrei. Er ist ausserdem steuerfrei (KÄNZIG, Die eidgenössische Wehrsteuer, Basel 1962, Anmerkung 136 zu Art. 21 WStB). Es erscheint angezeigt, die tägliche Vergütung für Zivilschutzpflichtige sozialversicherungsrechtlich dem Militärsold gleichzustellen. Denn sie bewegt sich gestützt auf Art. 46 Abs. 2 des Bundesgesetzes über den Zivilschutz "im Rahmen der Soldansätze in der Armee" und ist ebenfalls steuerfrei, wie das Bundesamt für Zivilschutz am 11. Mai 1971 mit Zustimmung der Eidgenössischen Steuerverwaltung den kantonalen Zivilschutzstellen mitgeteilt hat. b) Hingegen haben das Taggeld und die freie Verpflegung für Zivilschutz-Instruktoren Lohncharakter, weil sie erwerbswirtschaftliche Bedeutung haben. Das Taggeld wird denn auch als Arbeitsentgelt gemäss Art. 21 Abs. 1 lit. a WStB besteuert, wie der erwähnten Mitteilung des Bundesamtes für Zivilschutz zu entnehmen ist.</w:t>
      </w:r>
    </w:p>
    <w:p>
      <w:r>
        <w:rPr>
          <w:b/>
        </w:rPr>
        <w:t>E. 3</w:t>
      </w:r>
    </w:p>
    <w:p>
      <w:r>
        <w:t>Entgegen der Auffassung der Beschwerdeführerin schafft diese Regelung keine rechtsungleiche Behandlung "zweckgleicher Entschädigungen". Es verstösst nicht gegen Art. 4 BV , wenn erwerbswirtschaftlich ungleiche Sachverhalte rechtlich verschieden gewürdigt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