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7</w:t>
      </w:r>
    </w:p>
    <w:p>
      <w:r>
        <w:t>Bundesgericht (BGE), 1975-01-17, DE</w:t>
      </w:r>
    </w:p>
    <w:p>
      <w:r>
        <w:rPr>
          <w:b/>
        </w:rPr>
        <w:t xml:space="preserve">Quelle: </w:t>
      </w:r>
      <w:r>
        <w:t>https://mcp.opencaselaw.ch/entscheid/bge_BGE_101_V_7</w:t>
      </w:r>
    </w:p>
    <w:p>
      <w:r>
        <w:t>FR: ATF 101 V 7</w:t>
      </w:r>
    </w:p>
    <w:p>
      <w:r>
        <w:t>IT: DTF 101 V 7</w:t>
      </w:r>
    </w:p>
    <w:p>
      <w:pPr>
        <w:pStyle w:val="Heading2"/>
      </w:pPr>
      <w:r>
        <w:t>Regeste</w:t>
      </w:r>
    </w:p>
    <w:p>
      <w:r>
        <w:t>Regeste Bedeutung der Handelsregistereintragungen für die Beitragspflicht von Teilhabern an Kollektivgesellschaften (Art. 20 Abs. 3 AHVV).</w:t>
      </w:r>
    </w:p>
    <w:p>
      <w:r>
        <w:t>Regeste Importance des inscriptions au registre du commerce quant à l'obligation de cotiser des membres d'une société en nom collectif (art. 20 al. 3 RAVS).</w:t>
      </w:r>
    </w:p>
    <w:p>
      <w:r>
        <w:t>Regesto Importanza delle iscrizioni nel registro di commercio in riguardo agli obblighi tributari dei membri di società in nome collettivo (art. 20 cpv. 3 OAVS).</w:t>
      </w:r>
    </w:p>
    <w:p>
      <w:pPr>
        <w:pStyle w:val="Heading2"/>
      </w:pPr>
      <w:r>
        <w:t>Erwägungen</w:t>
      </w:r>
    </w:p>
    <w:p>
      <w:r>
        <w:rPr>
          <w:b/>
        </w:rPr>
        <w:t>E. 1</w:t>
      </w:r>
    </w:p>
    <w:p>
      <w:r>
        <w:t>a) Gemäss Art. 9 Abs. 1 AHVG gilt als Einkommen aus selbständiger Erwerbstätigkeit jedes Erwerbseinkommen, das nicht Entgelt für in unselbständiger Stellung geleistete Arbeit darstellt. Dazu gehören nach Art. 17 lit. c in Verbindung mit Art. 20 Abs. 3 AHVV auch die Anteile der Teilhaber von Kollektivgesellschaften, soweit die Bezüge den vom rohen Einkommen abziehbaren Kapitalzins ( Art. 18 Abs. 2 AHVV ) übersteigen. Praxisgemäss ist von der Vermutung auszugehen, die Kollektivgesellschaft sei ein auf Erwerb gerichtetes Unternehmen und die vom Gesellschafter bezogenen Anteile bildeten Einkommen aus selbständiger Erwerbstätigkeit und nicht (beitragsfreien) BGE 101 V 7 S. 9 Kapitalertrag. Dies gilt grundsätzlich auch, wenn der Hauptgeschäftszweck in der Verwaltung von Liegenschaften besteht (EVGE 1964 S. 149 Erw. 1, 1959 S. 43). b) Nach Art. 554 OR sind Kollektivgesellschaften in das Handelsregister des Ortes einzutragen, an dem sie ihren Sitz haben. In Ergänzung des gesetzlich vorgeschriebenen Inhaltes der Eintragung bestimmt Art. 42 Abs. 1 der Vo über das Handelsregister vom 7. Juni 1937 (HRV): "Bei Einzelfirmen, Kollektiv- und Kommanditgesellschaften ist die Natur des Geschäftes und bei juristischen Personen ihr Zweck kurz und sachlich einzutragen". Dem Handelsregister kommt zwar nur in beschränktem Masse öffentlicher Glaube zu (vgl. hiezu HIS, Berner Kommentar zum ZGB, N. 17 ff. zu Art. 933 OR ; FUNK, Kommentar des OR, N. 1 zu Art. 933 OR ; GUHL/MERZ/KUMMER, Das Schweizerische Obligationenrecht, 6. Aufl. S. 740). Die Eintragungen haben jedoch der Wahrheit zu entsprechen und dürfen zu keinen Täuschungen Anlass geben (Art. 38 HRV); auch ist jede Änderung einer eingetragenen Tatsache ebenfalls im Handelsregister einzutragen ( Art. 937 OR ). Dritte können sich daher grundsätzlich darauf verlassen, der Inhalt einer Eintragung entspreche den tatsächlichen Verhältnissen. Der Registereintrag erbringt gemäss Art. 9 ZGB für die durch die Eintragung bezeugten Tatsachen zivilprozessrechtlich den vollen Beweis, solange nicht die Unrichtigkeit der Eintragung nachgewiesen ist (HIS, a.a.O., N. 16 zu Art. 933 OR ; FUNK, a.a.O., N. 1 zu Art. 933 OR ). Bei dieser Rechtslage rechtfertigt es sich, der aus der beitragsrechtlichen Regelung sich ergebenden Vermutung, wonach die vom Teilhaber einer Kollektivgesellschaft bezogenen Anteile Erwerbseinkommen darstellen, zusätzliche Bedeutung beizumessen, wenn aus der Eintragung im Handelsregister klar hervorgeht, dass die Gesellschaft einen erwerblichen Zweck verfolgt. Trifft dies zu, so muss sich der Gesellschafter diesen Umstand auch hinsichtlich der sozialversicherungsrechtlichen Beitragspflicht entgegenhalten lassen. Die von ihm bezogenen Anteile gelten demnach grundsätzlich als Einkommen aus selbständiger Erwerbstätigkeit, ohne dass geprüft werden müsste, was für eine Tätigkeit die Gesellschaft im jeweils massgebenden Zeitraum tatsächlich ausgeübt hat. Wie BGE 101 V 7 S. 10 das Gesamtgericht entschieden hat, kann hievon nur abgewichen werden, wenn nachgewiesen ist, dass die Eintragung im Handelsregister offensichtlich und seit längerer Zeit den tatsächlichen Verhältnissen nicht entspricht und dass triftige Gründe gegen eine Änderung des Eintrages vorliegen.</w:t>
      </w:r>
    </w:p>
    <w:p>
      <w:r>
        <w:rPr>
          <w:b/>
        </w:rPr>
        <w:t>E. 2</w:t>
      </w:r>
    </w:p>
    <w:p>
      <w:r>
        <w:t>Die Firma F. Brodmann &amp; Co., an deren Kapital Fritz Stehrenberger zu 96% beteiligt ist, bezweckt gemäss Eintragung im Handelsregister den Erwerb, die Verwaltung und den Verkauf von Immobilien. Der Beschwerdeführer ist somit für die aus der Gesellschaft bezogenen Gewinnanteile grundsätzlich der Beitragspflicht als Selbständigerwerbender unterstellt. Was der Beschwerdeführer hiegegen vorbringt, vermag zu keinem anderen Ergebnis zu führen. Es mag zwar zutreffen, dass die im Jahre 1952 gegründete Gesellschaft seit längerer Zeit nicht mehr erwerblich tätig ist und dass die von den Gesellschaftern bezogenen Gewinnanteile ausschliesslich aus Mietzinsertrag auf den im Eigentum der Gesellschaft stehenden Liegenschaften stammen. Entscheidend bleibt jedoch, dass die Gesellschaft auf Grund der Eintragung im Handelsregister jederzeit in der Lage ist, erneut eine Geschäftstätigkeit auszuüben. Dies muss nach dem Gesagten genügen, solange nicht nachgewiesen ist, dass die Eintragung im Handelsregister den tatsächlichen Verhältnissen offensichtlich nicht entspricht und aus triftigen Gründen nicht abgeändert werden konnte. Im vorliegenden Fall fehlt es an Anhaltspunkten, die ein Abgehen von der sich aus dem Handelsregistereintrag ergebenden Beurteilung rechtfertigen würden. Den Akten ist vielmehr zu entnehmen, dass Fritz Stehrenberger gleichzeitig einziger Verwaltungsrat mit Einzelunterschrift der "Lilienstrasse AG (Immobiliengesellschaft)" ist, welche auch als Grundpfandgläubigerin der Firma Brodmann &amp; Co. angegeben wird. Diese Umstände sprechen für weitreichende Interessen erwerblicher Natur und lassen den Schluss nicht zu, die fragliche Eintragung im Handelsregister entspreche den tatsächlichen Verhältnissen offensichtlich nicht. Die Beitragspflicht des Beschwerdeführers ist daher zu bejahen, ohne dass geprüft werden müsste, ob triftige Gründe für den Weiterbestand der angeblich unzutreffend gewordenen Eintragung des Gesellschaftszweckes gegeben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